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highlight w:val="none"/>
        </w:rPr>
      </w:r>
      <w:r/>
    </w:p>
    <w:p>
      <w:pPr>
        <w:pStyle w:val="1065"/>
        <w:ind w:firstLine="643"/>
        <w:rPr>
          <w:b w:val="0"/>
          <w:bCs w:val="0"/>
          <w:sz w:val="32"/>
          <w:szCs w:val="32"/>
          <w:highlight w:val="none"/>
        </w:rPr>
      </w:pPr>
      <w:r>
        <w:rPr>
          <w:rFonts w:hint="eastAsia"/>
          <w:b/>
          <w:bCs/>
          <w:color w:val="000000"/>
          <w:sz w:val="32"/>
          <w:highlight w:val="none"/>
        </w:rPr>
        <w:t xml:space="preserve">项目名称：_2026-2028年江苏农林职业技术学院茅山校区物业服务_</w:t>
      </w:r>
      <w:r>
        <w:rPr>
          <w:b/>
          <w:bCs/>
          <w:sz w:val="32"/>
          <w:szCs w:val="32"/>
          <w:highlight w:val="none"/>
        </w:rPr>
        <w:t xml:space="preserve">（更正稿）</w:t>
      </w:r>
      <w:r>
        <w:rPr>
          <w:rFonts w:hint="eastAsia"/>
          <w:b/>
          <w:bCs/>
          <w:color w:val="000000"/>
          <w:sz w:val="32"/>
          <w:highlight w:val="none"/>
        </w:rPr>
        <w:t xml:space="preserve">_</w:t>
      </w:r>
      <w:r>
        <w:rPr>
          <w:b w:val="0"/>
          <w:bCs w:val="0"/>
          <w:sz w:val="32"/>
          <w:szCs w:val="32"/>
          <w:highlight w:val="none"/>
        </w:rPr>
      </w:r>
      <w:r/>
    </w:p>
    <w:p>
      <w:pPr>
        <w:pStyle w:val="1065"/>
        <w:ind w:firstLine="643"/>
        <w:rPr>
          <w:rFonts w:hint="eastAsia"/>
          <w:b/>
          <w:bCs/>
          <w:color w:val="000000"/>
          <w:sz w:val="32"/>
          <w:szCs w:val="32"/>
          <w:highlight w:val="none"/>
        </w:rPr>
      </w:pPr>
      <w:r>
        <w:rPr>
          <w:highlight w:val="none"/>
        </w:rPr>
      </w:r>
      <w:r>
        <w:rPr>
          <w:highlight w:val="none"/>
        </w:rPr>
      </w:r>
      <w:r/>
    </w:p>
    <w:p>
      <w:pPr>
        <w:pStyle w:val="958"/>
        <w:ind w:firstLine="643"/>
        <w:rPr>
          <w:b/>
          <w:color w:val="000000"/>
          <w:sz w:val="30"/>
          <w:szCs w:val="30"/>
          <w:highlight w:val="none"/>
        </w:rPr>
      </w:pPr>
      <w:r>
        <w:rPr>
          <w:rFonts w:hint="eastAsia"/>
          <w:b/>
          <w:bCs/>
          <w:color w:val="000000"/>
          <w:sz w:val="32"/>
          <w:highlight w:val="none"/>
        </w:rPr>
        <w:t xml:space="preserve">项目编号：JSZC-320000-SCZX-G2026-0100</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highlight w:val="none"/>
        </w:rPr>
      </w:r>
      <w:r/>
    </w:p>
    <w:p>
      <w:pPr>
        <w:pStyle w:val="958"/>
        <w:ind w:left="2811" w:hanging="2811"/>
        <w:jc w:val="center"/>
        <w:rPr>
          <w:rFonts w:hint="eastAsia"/>
          <w:b/>
          <w:color w:val="000000"/>
          <w:sz w:val="28"/>
          <w:szCs w:val="28"/>
          <w:highlight w:val="none"/>
        </w:rPr>
      </w:pPr>
      <w:r>
        <w:rPr>
          <w:rFonts w:hint="eastAsia"/>
          <w:b/>
          <w:color w:val="000000"/>
          <w:sz w:val="28"/>
          <w:szCs w:val="28"/>
          <w:highlight w:val="none"/>
        </w:rPr>
      </w:r>
      <w:r>
        <w:rPr>
          <w:highlight w:val="none"/>
        </w:rPr>
      </w:r>
      <w:r/>
    </w:p>
    <w:p>
      <w:pPr>
        <w:pStyle w:val="958"/>
        <w:ind w:left="2811" w:hanging="2811"/>
        <w:jc w:val="center"/>
        <w:rPr>
          <w:rFonts w:hint="eastAsia"/>
          <w:b/>
          <w:color w:val="000000"/>
          <w:sz w:val="28"/>
          <w:szCs w:val="28"/>
          <w:highlight w:val="none"/>
        </w:rPr>
      </w:pPr>
      <w:r>
        <w:rPr>
          <w:rFonts w:hint="eastAsia"/>
          <w:b/>
          <w:color w:val="000000"/>
          <w:sz w:val="28"/>
          <w:szCs w:val="28"/>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jc w:val="center"/>
        <w:rPr>
          <w:rFonts w:hint="eastAsia"/>
          <w:b/>
          <w:bCs/>
          <w:color w:val="000000"/>
          <w:sz w:val="32"/>
          <w:highlight w:val="none"/>
        </w:rPr>
      </w:pPr>
      <w:r>
        <w:rPr>
          <w:rFonts w:hint="eastAsia"/>
          <w:b/>
          <w:bCs/>
          <w:color w:val="000000"/>
          <w:sz w:val="32"/>
          <w:highlight w:val="none"/>
        </w:rPr>
        <w:t xml:space="preserve">江苏省政府采购中心</w:t>
      </w:r>
      <w:r>
        <w:rPr>
          <w:highlight w:val="none"/>
        </w:rPr>
      </w:r>
      <w:r/>
    </w:p>
    <w:p>
      <w:pPr>
        <w:pStyle w:val="1065"/>
        <w:ind w:firstLine="0"/>
        <w:jc w:val="center"/>
        <w:rPr>
          <w:rFonts w:hint="eastAsia"/>
          <w:b/>
          <w:bCs/>
          <w:color w:val="000000"/>
          <w:sz w:val="32"/>
          <w:highlight w:val="none"/>
        </w:rPr>
      </w:pPr>
      <w:r>
        <w:rPr>
          <w:b/>
          <w:bCs/>
          <w:color w:val="000000"/>
          <w:sz w:val="32"/>
          <w:highlight w:val="none"/>
        </w:rPr>
        <w:t xml:space="preserve">_</w:t>
      </w:r>
      <w:r>
        <w:rPr>
          <w:rFonts w:hint="eastAsia"/>
          <w:b/>
          <w:bCs/>
          <w:color w:val="000000"/>
          <w:sz w:val="32"/>
          <w:highlight w:val="none"/>
        </w:rPr>
        <w:t xml:space="preserve">2026</w:t>
      </w:r>
      <w:r>
        <w:rPr>
          <w:b/>
          <w:bCs/>
          <w:color w:val="000000"/>
          <w:sz w:val="32"/>
          <w:highlight w:val="none"/>
        </w:rPr>
        <w:t xml:space="preserve">_</w:t>
      </w:r>
      <w:r>
        <w:rPr>
          <w:rFonts w:hint="eastAsia"/>
          <w:b/>
          <w:bCs/>
          <w:color w:val="000000"/>
          <w:sz w:val="32"/>
          <w:highlight w:val="none"/>
        </w:rPr>
        <w:t xml:space="preserve">年</w:t>
      </w:r>
      <w:r>
        <w:rPr>
          <w:b/>
          <w:bCs/>
          <w:color w:val="000000"/>
          <w:sz w:val="32"/>
          <w:highlight w:val="none"/>
        </w:rPr>
        <w:t xml:space="preserve">_</w:t>
      </w:r>
      <w:r>
        <w:rPr>
          <w:rFonts w:hint="eastAsia"/>
          <w:b/>
          <w:bCs/>
          <w:color w:val="000000"/>
          <w:sz w:val="32"/>
          <w:highlight w:val="none"/>
        </w:rPr>
        <w:t xml:space="preserve">4</w:t>
      </w:r>
      <w:r>
        <w:rPr>
          <w:b/>
          <w:bCs/>
          <w:color w:val="000000"/>
          <w:sz w:val="32"/>
          <w:highlight w:val="none"/>
        </w:rPr>
        <w:t xml:space="preserve">_</w:t>
      </w:r>
      <w:r>
        <w:rPr>
          <w:rFonts w:hint="eastAsia"/>
          <w:b/>
          <w:bCs/>
          <w:color w:val="000000"/>
          <w:sz w:val="32"/>
          <w:highlight w:val="none"/>
        </w:rPr>
        <w:t xml:space="preserve">月</w:t>
      </w:r>
      <w:r>
        <w:rPr>
          <w:highlight w:val="none"/>
        </w:rPr>
      </w:r>
      <w:r/>
    </w:p>
    <w:p>
      <w:pPr>
        <w:pStyle w:val="1065"/>
        <w:ind w:firstLine="0"/>
        <w:rPr>
          <w:rFonts w:hint="eastAsia"/>
          <w:color w:val="000000"/>
          <w:highlight w:val="none"/>
          <w:u w:val="single"/>
        </w:rPr>
      </w:pPr>
      <w:r>
        <w:rPr>
          <w:rFonts w:hint="eastAsia"/>
          <w:color w:val="000000"/>
          <w:highlight w:val="none"/>
        </w:rPr>
        <w:t xml:space="preserve">                        </w:t>
      </w:r>
      <w:r>
        <w:rPr>
          <w:highlight w:val="none"/>
        </w:rPr>
      </w:r>
      <w:r/>
    </w:p>
    <w:p>
      <w:pPr>
        <w:pStyle w:val="1065"/>
        <w:ind w:firstLine="0"/>
        <w:jc w:val="center"/>
        <w:rPr>
          <w:rFonts w:hint="eastAsia"/>
          <w:color w:val="000000"/>
          <w:highlight w:val="none"/>
        </w:rPr>
      </w:pPr>
      <w:r>
        <w:rPr>
          <w:rFonts w:hint="eastAsia"/>
          <w:color w:val="000000"/>
          <w:highlight w:val="none"/>
        </w:rPr>
      </w:r>
      <w:r>
        <w:rPr>
          <w:highlight w:val="none"/>
        </w:rPr>
      </w:r>
      <w:r/>
    </w:p>
    <w:p>
      <w:pPr>
        <w:pStyle w:val="958"/>
        <w:jc w:val="center"/>
        <w:spacing w:line="480" w:lineRule="auto"/>
        <w:rPr>
          <w:rFonts w:hint="eastAsia"/>
          <w:color w:val="000000"/>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highlight w:val="none"/>
        </w:rPr>
      </w:r>
      <w:bookmarkStart w:id="0" w:name="_Toc120614210"/>
      <w:r>
        <w:rPr>
          <w:highlight w:val="none"/>
        </w:rPr>
      </w:r>
      <w:bookmarkStart w:id="1" w:name="_Toc479757206"/>
      <w:r>
        <w:rPr>
          <w:highlight w:val="none"/>
        </w:rPr>
      </w:r>
      <w:bookmarkStart w:id="2" w:name="_Toc16938516"/>
      <w:r>
        <w:rPr>
          <w:highlight w:val="none"/>
        </w:rPr>
      </w:r>
      <w:bookmarkStart w:id="3" w:name="_Toc20823272"/>
      <w:r>
        <w:rPr>
          <w:highlight w:val="none"/>
        </w:rPr>
      </w:r>
      <w:bookmarkStart w:id="4" w:name="_Toc513029200"/>
      <w:r>
        <w:rPr>
          <w:highlight w:val="none"/>
        </w:rPr>
      </w:r>
      <w:bookmarkStart w:id="5" w:name="_Toc523127445"/>
      <w:r>
        <w:rPr>
          <w:highlight w:val="none"/>
        </w:rPr>
      </w:r>
      <w:r/>
    </w:p>
    <w:p>
      <w:pPr>
        <w:pStyle w:val="958"/>
        <w:jc w:val="center"/>
        <w:spacing w:line="480" w:lineRule="auto"/>
        <w:rPr>
          <w:rFonts w:hint="eastAsia" w:ascii="黑体" w:hAnsi="Arial" w:eastAsia="黑体"/>
          <w:b/>
          <w:color w:val="000000"/>
          <w:sz w:val="44"/>
          <w:highlight w:val="none"/>
        </w:rPr>
        <w:outlineLvl w:val="0"/>
      </w:pPr>
      <w:r>
        <w:rPr>
          <w:rFonts w:hint="eastAsia"/>
          <w:color w:val="000000"/>
          <w:highlight w:val="none"/>
        </w:rPr>
        <w:t xml:space="preserve"> </w:t>
      </w:r>
      <w:r>
        <w:rPr>
          <w:rFonts w:hint="eastAsia" w:ascii="黑体" w:hAnsi="Arial" w:eastAsia="黑体"/>
          <w:b/>
          <w:color w:val="000000"/>
          <w:sz w:val="44"/>
          <w:highlight w:val="none"/>
        </w:rPr>
        <w:t xml:space="preserve">总  目  录</w:t>
      </w:r>
      <w:r>
        <w:rPr>
          <w:highlight w:val="none"/>
        </w:rPr>
      </w:r>
      <w:r/>
    </w:p>
    <w:p>
      <w:pPr>
        <w:pStyle w:val="958"/>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……………………………………1 </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………………………………5  </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……………………………………15</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……………………………………18</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………………………53</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………………………………59</w:t>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9"/>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受〔江苏农林职业技术学院〕的委托，江苏省政府采购中心就〔2026-2028年江苏农林职业技术学院茅山校区物业服务〕(〔JSZC-320000-SCZX-G2026-0100〕)项目进行公开招标采购，欢迎符合条件的供应商投标。</w:t>
      </w:r>
      <w:r>
        <w:rPr>
          <w:highlight w:val="none"/>
        </w:rPr>
      </w:r>
      <w:r/>
    </w:p>
    <w:p>
      <w:pPr>
        <w:pStyle w:val="958"/>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highlight w:val="none"/>
        </w:rPr>
      </w:r>
      <w:r/>
    </w:p>
    <w:p>
      <w:pPr>
        <w:pStyle w:val="958"/>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2026-2028年江苏农林职业技术学院茅山校区物业服务</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年5月8日9点30分（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highlight w:val="none"/>
        </w:rPr>
      </w:r>
      <w:r/>
    </w:p>
    <w:p>
      <w:pPr>
        <w:pStyle w:val="961"/>
        <w:ind w:firstLine="498"/>
        <w:spacing w:before="145" w:after="145" w:line="400" w:lineRule="exact"/>
        <w:rPr>
          <w:color w:val="000000"/>
          <w:highlight w:val="none"/>
        </w:rPr>
      </w:pPr>
      <w:r>
        <w:rPr>
          <w:highlight w:val="none"/>
        </w:rPr>
      </w:r>
      <w:bookmarkStart w:id="6" w:name="_Toc35393790"/>
      <w:r>
        <w:rPr>
          <w:highlight w:val="none"/>
        </w:rPr>
      </w:r>
      <w:bookmarkStart w:id="7" w:name="_Toc38985263"/>
      <w:r>
        <w:rPr>
          <w:highlight w:val="none"/>
        </w:rPr>
      </w:r>
      <w:bookmarkStart w:id="8" w:name="_Toc28359079"/>
      <w:r>
        <w:rPr>
          <w:highlight w:val="none"/>
        </w:rPr>
      </w:r>
      <w:bookmarkStart w:id="9" w:name="_Toc28359002"/>
      <w:r>
        <w:rPr>
          <w:highlight w:val="none"/>
        </w:rPr>
      </w:r>
      <w:bookmarkStart w:id="10" w:name="_Toc35393621"/>
      <w:r>
        <w:rPr>
          <w:highlight w:val="none"/>
        </w:rPr>
      </w:r>
      <w:bookmarkStart w:id="11" w:name="_Hlk24379207"/>
      <w:r>
        <w:rPr>
          <w:rFonts w:hint="eastAsia"/>
          <w:color w:val="000000"/>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1.项目编号：JSZC-320000-SCZX-G2026-0100</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rPr>
        <w:t xml:space="preserve">2026-2028年江苏农林职业技术学院茅山校区物业服务</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2800"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预算</w:t>
            </w:r>
            <w:r>
              <w:rPr>
                <w:rFonts w:ascii="宋体" w:hAnsi="宋体"/>
                <w:color w:val="000000"/>
                <w:highlight w:val="none"/>
              </w:rPr>
              <w:t xml:space="preserve">金额</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highlight w:val="none"/>
              </w:rPr>
            </w:r>
            <w:r/>
          </w:p>
        </w:tc>
      </w:tr>
      <w:tr>
        <w:trPr/>
        <w:tc>
          <w:tcPr>
            <w:tcW w:w="1148"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1</w:t>
            </w:r>
            <w:r>
              <w:rPr>
                <w:highlight w:val="none"/>
              </w:rPr>
            </w:r>
            <w:r/>
          </w:p>
        </w:tc>
        <w:tc>
          <w:tcPr>
            <w:tcW w:w="2800"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670.179</w:t>
            </w:r>
            <w:r>
              <w:rPr>
                <w:highlight w:val="none"/>
              </w:rPr>
            </w:r>
            <w:r/>
          </w:p>
        </w:tc>
      </w:tr>
    </w:tbl>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2800"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是否</w:t>
            </w:r>
            <w:r>
              <w:rPr>
                <w:rFonts w:ascii="宋体" w:hAnsi="宋体"/>
                <w:color w:val="000000"/>
                <w:highlight w:val="none"/>
              </w:rPr>
              <w:t xml:space="preserve">设定最高</w:t>
            </w:r>
            <w:r>
              <w:rPr>
                <w:rFonts w:hint="eastAsia" w:ascii="宋体" w:hAnsi="宋体"/>
                <w:color w:val="000000"/>
                <w:highlight w:val="none"/>
              </w:rPr>
              <w:t xml:space="preserve">限价</w:t>
            </w:r>
            <w:r>
              <w:rPr>
                <w:rFonts w:ascii="宋体" w:hAnsi="宋体"/>
                <w:color w:val="000000"/>
                <w:highlight w:val="none"/>
              </w:rPr>
              <w:t xml:space="preserve">（</w:t>
            </w:r>
            <w:r>
              <w:rPr>
                <w:rFonts w:hint="eastAsia" w:ascii="宋体" w:hAnsi="宋体"/>
                <w:color w:val="000000"/>
                <w:highlight w:val="none"/>
              </w:rPr>
              <w:t xml:space="preserve">是/否</w:t>
            </w:r>
            <w:r>
              <w:rPr>
                <w:rFonts w:ascii="宋体" w:hAnsi="宋体"/>
                <w:color w:val="000000"/>
                <w:highlight w:val="none"/>
              </w:rPr>
              <w:t xml:space="preserve">）</w:t>
            </w:r>
            <w:r>
              <w:rPr>
                <w:highlight w:val="none"/>
              </w:rPr>
            </w:r>
            <w:r/>
          </w:p>
        </w:tc>
        <w:tc>
          <w:tcPr>
            <w:tcW w:w="3135"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最高</w:t>
            </w:r>
            <w:r>
              <w:rPr>
                <w:rFonts w:ascii="宋体" w:hAnsi="宋体"/>
                <w:color w:val="000000"/>
                <w:highlight w:val="none"/>
              </w:rPr>
              <w:t xml:space="preserve">限价</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highlight w:val="none"/>
              </w:rPr>
            </w:r>
            <w:r/>
          </w:p>
        </w:tc>
      </w:tr>
      <w:tr>
        <w:trPr/>
        <w:tc>
          <w:tcPr>
            <w:tcW w:w="1148"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1</w:t>
            </w:r>
            <w:r>
              <w:rPr>
                <w:highlight w:val="none"/>
              </w:rPr>
            </w:r>
            <w:r/>
          </w:p>
        </w:tc>
        <w:tc>
          <w:tcPr>
            <w:tcW w:w="2800"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是</w:t>
            </w:r>
            <w:r>
              <w:rPr>
                <w:highlight w:val="none"/>
              </w:rPr>
            </w:r>
            <w:r/>
          </w:p>
        </w:tc>
        <w:tc>
          <w:tcPr>
            <w:tcW w:w="3135"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670.179</w:t>
            </w:r>
            <w:r>
              <w:rPr>
                <w:highlight w:val="none"/>
              </w:rPr>
            </w:r>
            <w:r/>
          </w:p>
        </w:tc>
      </w:tr>
    </w:tbl>
    <w:p>
      <w:pPr>
        <w:pStyle w:val="958"/>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是江苏农林职业技术学院茅山校区物业服务，服务内容包括但不限于公共设施管理、小型维修服务、环境卫生管理、学生公寓管理、楼宇管理、用电保障、绿化、教学会议、校园应急保障等。</w:t>
      </w:r>
      <w:r>
        <w:rPr>
          <w:rFonts w:hint="eastAsia" w:ascii="宋体" w:hAnsi="宋体" w:cs="宋体"/>
          <w:color w:val="000000"/>
          <w:sz w:val="24"/>
          <w:szCs w:val="24"/>
          <w:highlight w:val="none"/>
        </w:rPr>
        <w:t xml:space="preserve">（详细内容见本招标文件第四章） </w:t>
      </w:r>
      <w:r>
        <w:rPr>
          <w:highlight w:val="none"/>
        </w:rPr>
      </w:r>
      <w:r/>
    </w:p>
    <w:p>
      <w:pPr>
        <w:pStyle w:val="958"/>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6.合同履行期限：本项目服务期为三年。</w:t>
      </w:r>
      <w:r>
        <w:rPr>
          <w:highlight w:val="none"/>
        </w:rPr>
      </w:r>
      <w:r/>
    </w:p>
    <w:p>
      <w:pPr>
        <w:pStyle w:val="961"/>
        <w:ind w:firstLine="498"/>
        <w:spacing w:before="145" w:after="145" w:line="400" w:lineRule="exact"/>
        <w:rPr>
          <w:color w:val="000000"/>
          <w:highlight w:val="none"/>
        </w:rPr>
      </w:pPr>
      <w:r>
        <w:rPr>
          <w:highlight w:val="none"/>
        </w:rPr>
      </w:r>
      <w:bookmarkStart w:id="12" w:name="_Toc28359080"/>
      <w:r>
        <w:rPr>
          <w:highlight w:val="none"/>
        </w:rPr>
      </w:r>
      <w:bookmarkStart w:id="13" w:name="_Toc38985264"/>
      <w:r>
        <w:rPr>
          <w:highlight w:val="none"/>
        </w:rPr>
      </w:r>
      <w:bookmarkStart w:id="14" w:name="_Toc35393791"/>
      <w:r>
        <w:rPr>
          <w:highlight w:val="none"/>
        </w:rPr>
      </w:r>
      <w:bookmarkStart w:id="15" w:name="_Toc35393622"/>
      <w:r>
        <w:rPr>
          <w:highlight w:val="none"/>
        </w:rPr>
      </w:r>
      <w:bookmarkStart w:id="16" w:name="_Toc28359003"/>
      <w:r>
        <w:rPr>
          <w:rFonts w:hint="eastAsia"/>
          <w:color w:val="000000"/>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958"/>
        <w:ind w:firstLine="480"/>
        <w:spacing w:line="400" w:lineRule="exact"/>
        <w:rPr>
          <w:rFonts w:hint="eastAsia" w:ascii="宋体" w:hAnsi="宋体"/>
          <w:color w:val="000000"/>
          <w:sz w:val="24"/>
          <w:szCs w:val="24"/>
          <w:highlight w:val="none"/>
        </w:rPr>
      </w:pPr>
      <w:r>
        <w:rPr>
          <w:highlight w:val="none"/>
        </w:rPr>
      </w:r>
      <w:bookmarkStart w:id="17" w:name="_Toc38985265"/>
      <w:r>
        <w:rPr>
          <w:highlight w:val="none"/>
        </w:rPr>
      </w:r>
      <w:bookmarkStart w:id="18" w:name="_Toc28359081"/>
      <w:r>
        <w:rPr>
          <w:highlight w:val="none"/>
        </w:rPr>
      </w:r>
      <w:bookmarkStart w:id="19" w:name="_Toc35393623"/>
      <w:r>
        <w:rPr>
          <w:highlight w:val="none"/>
        </w:rPr>
      </w:r>
      <w:bookmarkStart w:id="20" w:name="_Toc28359004"/>
      <w:r>
        <w:rPr>
          <w:highlight w:val="none"/>
        </w:rPr>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 2024或2025年度的财务状况报告（成立不满一年无需提供）；</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highlight w:val="none"/>
        </w:rPr>
      </w:r>
      <w:r/>
    </w:p>
    <w:p>
      <w:pPr>
        <w:pStyle w:val="958"/>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r/>
    </w:p>
    <w:p>
      <w:pPr>
        <w:pStyle w:val="958"/>
        <w:ind w:firstLine="480"/>
        <w:spacing w:line="4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rHeight w:val="445"/>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296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是否接受联合体</w:t>
            </w:r>
            <w:r>
              <w:rPr>
                <w:rFonts w:ascii="宋体" w:hAnsi="宋体"/>
                <w:color w:val="000000"/>
                <w:highlight w:val="none"/>
              </w:rPr>
              <w:t xml:space="preserve">投标（</w:t>
            </w:r>
            <w:r>
              <w:rPr>
                <w:rFonts w:hint="eastAsia" w:ascii="宋体" w:hAnsi="宋体"/>
                <w:color w:val="000000"/>
                <w:highlight w:val="none"/>
              </w:rPr>
              <w:t xml:space="preserve">是/否</w:t>
            </w:r>
            <w:r>
              <w:rPr>
                <w:rFonts w:ascii="宋体" w:hAnsi="宋体"/>
                <w:color w:val="000000"/>
                <w:highlight w:val="none"/>
              </w:rPr>
              <w:t xml:space="preserve">）</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该</w:t>
            </w:r>
            <w:r>
              <w:rPr>
                <w:rFonts w:ascii="宋体" w:hAnsi="宋体"/>
                <w:color w:val="000000"/>
                <w:highlight w:val="none"/>
              </w:rPr>
              <w:t xml:space="preserve">采购包</w:t>
            </w:r>
            <w:r>
              <w:rPr>
                <w:rFonts w:hint="eastAsia" w:ascii="宋体" w:hAnsi="宋体"/>
                <w:color w:val="000000"/>
                <w:highlight w:val="none"/>
              </w:rPr>
              <w:t xml:space="preserve">中</w:t>
            </w:r>
            <w:r>
              <w:rPr>
                <w:rFonts w:ascii="宋体" w:hAnsi="宋体"/>
                <w:color w:val="000000"/>
                <w:highlight w:val="none"/>
              </w:rPr>
              <w:t xml:space="preserve">联合体成员数量</w:t>
            </w:r>
            <w:r>
              <w:rPr>
                <w:rFonts w:hint="eastAsia" w:ascii="宋体" w:hAnsi="宋体"/>
                <w:color w:val="000000"/>
                <w:highlight w:val="none"/>
              </w:rPr>
              <w:t xml:space="preserve">上限</w:t>
            </w:r>
            <w:r>
              <w:rPr>
                <w:highlight w:val="none"/>
              </w:rPr>
            </w:r>
            <w:r/>
          </w:p>
        </w:tc>
      </w:tr>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1</w:t>
            </w:r>
            <w:r>
              <w:rPr>
                <w:highlight w:val="none"/>
              </w:rPr>
            </w:r>
            <w:r/>
          </w:p>
        </w:tc>
        <w:tc>
          <w:tcPr>
            <w:tcW w:w="2968"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否</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w:t>
            </w:r>
            <w:r>
              <w:rPr>
                <w:highlight w:val="none"/>
              </w:rPr>
            </w:r>
            <w:r/>
          </w:p>
        </w:tc>
      </w:tr>
    </w:tbl>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6145"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特定</w:t>
            </w:r>
            <w:r>
              <w:rPr>
                <w:rFonts w:ascii="宋体" w:hAnsi="宋体"/>
                <w:color w:val="000000"/>
                <w:highlight w:val="none"/>
              </w:rPr>
              <w:t xml:space="preserve">资格要求</w:t>
            </w:r>
            <w:r>
              <w:rPr>
                <w:highlight w:val="none"/>
              </w:rPr>
            </w:r>
            <w:r/>
          </w:p>
        </w:tc>
      </w:tr>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1</w:t>
            </w:r>
            <w:r>
              <w:rPr>
                <w:highlight w:val="none"/>
              </w:rPr>
            </w:r>
            <w:r/>
          </w:p>
        </w:tc>
        <w:tc>
          <w:tcPr>
            <w:tcW w:w="6145"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w:t>
            </w:r>
            <w:r>
              <w:rPr>
                <w:highlight w:val="none"/>
              </w:rPr>
            </w:r>
            <w:r/>
          </w:p>
        </w:tc>
      </w:tr>
    </w:tbl>
    <w:p>
      <w:pPr>
        <w:pStyle w:val="958"/>
        <w:ind w:firstLine="498"/>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rPr>
          <w:highlight w:val="none"/>
        </w:rPr>
      </w:r>
      <w:r/>
    </w:p>
    <w:p>
      <w:pPr>
        <w:pStyle w:val="958"/>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highlight w:val="none"/>
        </w:rPr>
      </w:r>
      <w:r/>
    </w:p>
    <w:p>
      <w:pPr>
        <w:pStyle w:val="958"/>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961"/>
        <w:ind w:firstLine="498"/>
        <w:spacing w:before="145" w:after="145" w:line="400" w:lineRule="exact"/>
        <w:rPr>
          <w:color w:val="000000"/>
          <w:highlight w:val="none"/>
        </w:rPr>
      </w:pPr>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Start w:id="22" w:name="_Toc28359082"/>
      <w:r>
        <w:rPr>
          <w:highlight w:val="none"/>
        </w:rPr>
      </w:r>
      <w:bookmarkStart w:id="23" w:name="_Toc28359005"/>
      <w:r>
        <w:rPr>
          <w:highlight w:val="none"/>
        </w:rPr>
      </w:r>
      <w:bookmarkStart w:id="24" w:name="_Toc35393793"/>
      <w:r>
        <w:rPr>
          <w:highlight w:val="none"/>
        </w:rPr>
      </w:r>
      <w:bookmarkStart w:id="25" w:name="_Toc35393624"/>
      <w:r>
        <w:rPr>
          <w:highlight w:val="none"/>
        </w:rPr>
      </w:r>
      <w:bookmarkStart w:id="26" w:name="_Toc38985266"/>
      <w:r>
        <w:rPr>
          <w:rFonts w:hint="eastAsia"/>
          <w:color w:val="000000"/>
          <w:highlight w:val="none"/>
        </w:rPr>
        <w:t xml:space="preserve">四、提交投标文件</w:t>
      </w:r>
      <w:bookmarkEnd w:id="22"/>
      <w:r>
        <w:rPr>
          <w:highlight w:val="none"/>
        </w:rPr>
      </w:r>
      <w:bookmarkEnd w:id="23"/>
      <w:r>
        <w:rPr>
          <w:rFonts w:hint="eastAsia"/>
          <w:color w:val="000000"/>
          <w:highlight w:val="none"/>
        </w:rPr>
        <w:t xml:space="preserve">截止时间、开标时间和地点</w:t>
      </w:r>
      <w:bookmarkEnd w:id="24"/>
      <w:r>
        <w:rPr>
          <w:highlight w:val="none"/>
        </w:rPr>
      </w:r>
      <w:bookmarkEnd w:id="25"/>
      <w:r>
        <w:rPr>
          <w:highlight w:val="none"/>
        </w:rPr>
      </w:r>
      <w:bookmarkEnd w:id="26"/>
      <w:r>
        <w:rPr>
          <w:highlight w:val="none"/>
        </w:rPr>
      </w:r>
      <w:r/>
    </w:p>
    <w:p>
      <w:pPr>
        <w:pStyle w:val="958"/>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1.2026年5月8日9点30分</w:t>
      </w:r>
      <w:r>
        <w:rPr>
          <w:rFonts w:hint="eastAsia" w:ascii="宋体" w:hAnsi="宋体"/>
          <w:bCs/>
          <w:color w:val="000000"/>
          <w:sz w:val="24"/>
          <w:szCs w:val="24"/>
          <w:highlight w:val="none"/>
        </w:rPr>
        <w:t xml:space="preserve">（北京时间）</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highlight w:val="none"/>
        </w:rPr>
      </w:r>
      <w:r/>
    </w:p>
    <w:p>
      <w:pPr>
        <w:pStyle w:val="958"/>
        <w:ind w:firstLine="498"/>
        <w:keepLines/>
        <w:keepNext/>
        <w:spacing w:before="145" w:after="145" w:line="360" w:lineRule="auto"/>
        <w:rPr>
          <w:b/>
          <w:bCs/>
          <w:color w:val="000000"/>
          <w:sz w:val="32"/>
          <w:szCs w:val="32"/>
          <w:highlight w:val="none"/>
        </w:rPr>
        <w:outlineLvl w:val="2"/>
      </w:pPr>
      <w:r>
        <w:rPr>
          <w:highlight w:val="none"/>
        </w:rPr>
      </w:r>
      <w:bookmarkStart w:id="27" w:name="_Toc35393794"/>
      <w:r>
        <w:rPr>
          <w:highlight w:val="none"/>
        </w:rPr>
      </w:r>
      <w:bookmarkStart w:id="28" w:name="_Toc35393625"/>
      <w:r>
        <w:rPr>
          <w:highlight w:val="none"/>
        </w:rPr>
      </w:r>
      <w:bookmarkStart w:id="29" w:name="_Toc38985267"/>
      <w:r>
        <w:rPr>
          <w:highlight w:val="none"/>
        </w:rPr>
      </w:r>
      <w:bookmarkStart w:id="30" w:name="_Toc28359084"/>
      <w:r>
        <w:rPr>
          <w:highlight w:val="none"/>
        </w:rPr>
      </w:r>
      <w:bookmarkStart w:id="31" w:name="_Toc28359007"/>
      <w:r>
        <w:rPr>
          <w:rFonts w:hint="eastAsia"/>
          <w:b/>
          <w:bCs/>
          <w:color w:val="000000"/>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pStyle w:val="95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highlight w:val="none"/>
        </w:rPr>
      </w:r>
      <w:r/>
    </w:p>
    <w:p>
      <w:pPr>
        <w:pStyle w:val="961"/>
        <w:ind w:firstLine="498"/>
        <w:spacing w:before="145" w:after="145" w:line="400" w:lineRule="exact"/>
        <w:rPr>
          <w:color w:val="000000"/>
          <w:highlight w:val="none"/>
        </w:rPr>
      </w:pPr>
      <w:r>
        <w:rPr>
          <w:highlight w:val="none"/>
        </w:rPr>
      </w:r>
      <w:bookmarkStart w:id="32" w:name="_Toc35393795"/>
      <w:r>
        <w:rPr>
          <w:highlight w:val="none"/>
        </w:rPr>
      </w:r>
      <w:bookmarkStart w:id="33" w:name="_Toc35393626"/>
      <w:r>
        <w:rPr>
          <w:highlight w:val="none"/>
        </w:rPr>
      </w:r>
      <w:bookmarkStart w:id="34" w:name="_Toc38985268"/>
      <w:r>
        <w:rPr>
          <w:rFonts w:hint="eastAsia"/>
          <w:color w:val="000000"/>
          <w:highlight w:val="none"/>
        </w:rPr>
        <w:t xml:space="preserve">六、其他补充事宜</w:t>
      </w:r>
      <w:bookmarkEnd w:id="32"/>
      <w:r>
        <w:rPr>
          <w:highlight w:val="none"/>
        </w:rPr>
      </w:r>
      <w:bookmarkEnd w:id="33"/>
      <w:r>
        <w:rPr>
          <w:highlight w:val="none"/>
        </w:rPr>
      </w:r>
      <w:bookmarkEnd w:id="34"/>
      <w:r>
        <w:rPr>
          <w:highlight w:val="none"/>
        </w:rPr>
      </w:r>
      <w:r/>
    </w:p>
    <w:p>
      <w:pPr>
        <w:pStyle w:val="958"/>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w:t>
      </w:r>
      <w:r>
        <w:rPr>
          <w:highlight w:val="none"/>
        </w:rPr>
      </w:r>
      <w:r/>
    </w:p>
    <w:p>
      <w:pPr>
        <w:pStyle w:val="961"/>
        <w:ind w:firstLine="498"/>
        <w:spacing w:before="145" w:after="145" w:line="400" w:lineRule="exact"/>
        <w:rPr>
          <w:color w:val="000000"/>
          <w:highlight w:val="none"/>
        </w:rPr>
      </w:pPr>
      <w:r>
        <w:rPr>
          <w:highlight w:val="none"/>
        </w:rPr>
      </w:r>
      <w:bookmarkStart w:id="35" w:name="_Toc35393796"/>
      <w:r>
        <w:rPr>
          <w:highlight w:val="none"/>
        </w:rPr>
      </w:r>
      <w:bookmarkStart w:id="36" w:name="_Toc28359008"/>
      <w:r>
        <w:rPr>
          <w:highlight w:val="none"/>
        </w:rPr>
      </w:r>
      <w:bookmarkStart w:id="37" w:name="_Toc35393627"/>
      <w:r>
        <w:rPr>
          <w:highlight w:val="none"/>
        </w:rPr>
      </w:r>
      <w:bookmarkStart w:id="38" w:name="_Toc28359085"/>
      <w:r>
        <w:rPr>
          <w:highlight w:val="none"/>
        </w:rPr>
      </w:r>
      <w:bookmarkStart w:id="39" w:name="_Toc38985269"/>
      <w:r>
        <w:rPr>
          <w:rFonts w:hint="eastAsia"/>
          <w:color w:val="000000"/>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958"/>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highlight w:val="none"/>
        </w:rPr>
      </w:r>
      <w:r/>
    </w:p>
    <w:p>
      <w:pPr>
        <w:pStyle w:val="958"/>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江苏农林职业技术学院       </w:t>
      </w:r>
      <w:r>
        <w:rPr>
          <w:highlight w:val="none"/>
        </w:rPr>
      </w:r>
      <w:r/>
    </w:p>
    <w:p>
      <w:pPr>
        <w:pStyle w:val="958"/>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  江苏省句容市文昌东路19号  </w:t>
      </w:r>
      <w:r>
        <w:rPr>
          <w:highlight w:val="none"/>
        </w:rPr>
      </w:r>
      <w:r/>
    </w:p>
    <w:p>
      <w:pPr>
        <w:pStyle w:val="958"/>
        <w:ind w:left="1079" w:hanging="30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徐超       </w:t>
      </w:r>
      <w:r>
        <w:rPr>
          <w:highlight w:val="none"/>
        </w:rPr>
      </w:r>
      <w:r/>
    </w:p>
    <w:p>
      <w:pPr>
        <w:pStyle w:val="958"/>
        <w:ind w:left="1079" w:hanging="30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15152927083  </w:t>
      </w:r>
      <w:bookmarkStart w:id="40" w:name="_Toc28359086"/>
      <w:r>
        <w:rPr>
          <w:highlight w:val="none"/>
        </w:rPr>
      </w:r>
      <w:bookmarkStart w:id="41" w:name="_Toc28359009"/>
      <w:r>
        <w:rPr>
          <w:highlight w:val="none"/>
        </w:rPr>
      </w:r>
      <w:r/>
    </w:p>
    <w:p>
      <w:pPr>
        <w:pStyle w:val="958"/>
        <w:ind w:left="1079" w:hanging="30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0"/>
      <w:r>
        <w:rPr>
          <w:highlight w:val="none"/>
        </w:rPr>
      </w:r>
      <w:bookmarkEnd w:id="41"/>
      <w:r>
        <w:rPr>
          <w:highlight w:val="none"/>
        </w:rPr>
      </w:r>
      <w:r/>
    </w:p>
    <w:p>
      <w:pPr>
        <w:pStyle w:val="958"/>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南京市汉中门大街145号省政务中心二期3楼南区　</w:t>
      </w:r>
      <w:r>
        <w:rPr>
          <w:highlight w:val="none"/>
        </w:rPr>
      </w:r>
      <w:r/>
    </w:p>
    <w:p>
      <w:pPr>
        <w:pStyle w:val="958"/>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厉彬彬、唐文                    </w:t>
      </w:r>
      <w:r>
        <w:rPr>
          <w:highlight w:val="none"/>
        </w:rPr>
      </w:r>
      <w:r/>
    </w:p>
    <w:p>
      <w:pPr>
        <w:pStyle w:val="961"/>
        <w:ind w:firstLine="372"/>
        <w:spacing w:before="145" w:after="145" w:line="400" w:lineRule="exact"/>
        <w:rPr>
          <w:rFonts w:hint="eastAsia" w:ascii="宋体" w:hAnsi="宋体"/>
          <w:b w:val="0"/>
          <w:bCs w:val="0"/>
          <w:color w:val="000000"/>
          <w:sz w:val="24"/>
          <w:szCs w:val="24"/>
          <w:highlight w:val="none"/>
          <w:u w:val="single"/>
        </w:rPr>
      </w:pPr>
      <w:r>
        <w:rPr>
          <w:rFonts w:hint="eastAsia" w:ascii="宋体" w:hAnsi="宋体"/>
          <w:b w:val="0"/>
          <w:bCs w:val="0"/>
          <w:color w:val="000000"/>
          <w:sz w:val="24"/>
          <w:szCs w:val="24"/>
          <w:highlight w:val="none"/>
        </w:rPr>
        <w:t xml:space="preserve">联系方式：</w:t>
      </w:r>
      <w:r>
        <w:rPr>
          <w:rFonts w:hint="eastAsia" w:ascii="宋体" w:hAnsi="宋体"/>
          <w:b w:val="0"/>
          <w:bCs w:val="0"/>
          <w:color w:val="000000"/>
          <w:sz w:val="24"/>
          <w:szCs w:val="24"/>
          <w:highlight w:val="none"/>
          <w:u w:val="single"/>
        </w:rPr>
        <w:t xml:space="preserve">　025-83668517/83668519　</w:t>
      </w:r>
      <w:r>
        <w:rPr>
          <w:highlight w:val="none"/>
        </w:rPr>
      </w:r>
      <w:r/>
    </w:p>
    <w:p>
      <w:pPr>
        <w:pStyle w:val="961"/>
        <w:ind w:firstLine="498"/>
        <w:spacing w:before="145" w:after="145" w:line="400" w:lineRule="exact"/>
        <w:rPr>
          <w:color w:val="000000"/>
          <w:highlight w:val="none"/>
        </w:rPr>
      </w:pPr>
      <w:r>
        <w:rPr>
          <w:rFonts w:hint="eastAsia"/>
          <w:color w:val="000000"/>
          <w:highlight w:val="none"/>
        </w:rPr>
        <w:t xml:space="preserve">八、其他</w:t>
      </w:r>
      <w:r>
        <w:rPr>
          <w:highlight w:val="none"/>
        </w:rPr>
      </w:r>
      <w:r/>
    </w:p>
    <w:p>
      <w:pPr>
        <w:pStyle w:val="958"/>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highlight w:val="none"/>
        </w:rPr>
        <w:t xml:space="preserve">http://www.ccgp-jiangsu.gov.cn/jiangsu/zlxz/ee/ee3a4bc5a3454aa2b0d9312230633ce9.html。</w:t>
      </w:r>
      <w:r>
        <w:rPr>
          <w:highlight w:val="none"/>
        </w:rPr>
      </w:r>
      <w:r/>
    </w:p>
    <w:p>
      <w:pPr>
        <w:pStyle w:val="958"/>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highlight w:val="none"/>
        </w:rPr>
      </w:r>
      <w:r/>
    </w:p>
    <w:p>
      <w:pPr>
        <w:pStyle w:val="95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highlight w:val="none"/>
        </w:rPr>
      </w:r>
      <w:r/>
    </w:p>
    <w:p>
      <w:pPr>
        <w:pStyle w:val="95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有关本次招标的事项若存在变动或修改，敬请及时关注江苏省政府采购中心在“江苏政府采购网”发布的更正公告。</w:t>
      </w:r>
      <w:r>
        <w:rPr>
          <w:highlight w:val="none"/>
        </w:rPr>
      </w:r>
      <w:r/>
    </w:p>
    <w:p>
      <w:pPr>
        <w:pStyle w:val="95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highlight w:val="none"/>
        </w:rPr>
      </w:r>
      <w:r/>
    </w:p>
    <w:p>
      <w:pPr>
        <w:pStyle w:val="960"/>
        <w:ind w:firstLine="2429"/>
        <w:jc w:val="both"/>
        <w:spacing w:line="400" w:lineRule="exact"/>
        <w:rPr>
          <w:rFonts w:hint="eastAsia" w:ascii="黑体" w:eastAsia="黑体"/>
          <w:b w:val="0"/>
          <w:bCs w:val="0"/>
          <w:color w:val="000000"/>
          <w:highlight w:val="none"/>
        </w:rPr>
      </w:pPr>
      <w:r>
        <w:rPr>
          <w:rFonts w:ascii="宋体" w:hAnsi="宋体"/>
          <w:color w:val="000000"/>
          <w:szCs w:val="24"/>
          <w:highlight w:val="none"/>
        </w:rPr>
        <w:br w:type="page" w:clear="all"/>
      </w:r>
      <w:bookmarkStart w:id="42" w:name="_Toc120614211"/>
      <w:r>
        <w:rPr>
          <w:rFonts w:hint="eastAsia" w:ascii="黑体" w:eastAsia="黑体"/>
          <w:color w:val="000000"/>
          <w:highlight w:val="none"/>
        </w:rPr>
        <w:t xml:space="preserve">第二章  </w:t>
      </w:r>
      <w:bookmarkStart w:id="43" w:name="_Toc513029202"/>
      <w:r>
        <w:rPr>
          <w:highlight w:val="none"/>
        </w:rPr>
      </w:r>
      <w:bookmarkStart w:id="44" w:name="_Toc20823274"/>
      <w:r>
        <w:rPr>
          <w:highlight w:val="none"/>
        </w:rPr>
      </w:r>
      <w:bookmarkStart w:id="45" w:name="_Toc16938518"/>
      <w:r>
        <w:rPr>
          <w:highlight w:val="none"/>
        </w:rPr>
      </w:r>
      <w:bookmarkStart w:id="46" w:name="_Toc120614213"/>
      <w:r>
        <w:rPr>
          <w:rFonts w:hint="eastAsia" w:ascii="黑体" w:eastAsia="黑体"/>
          <w:color w:val="000000"/>
          <w:highlight w:val="none"/>
        </w:rPr>
        <w:t xml:space="preserve">投标人须知</w:t>
      </w:r>
      <w:bookmarkEnd w:id="43"/>
      <w:r>
        <w:rPr>
          <w:highlight w:val="none"/>
        </w:rPr>
      </w:r>
      <w:bookmarkEnd w:id="44"/>
      <w:r>
        <w:rPr>
          <w:highlight w:val="none"/>
        </w:rPr>
      </w:r>
      <w:bookmarkEnd w:id="45"/>
      <w:r>
        <w:rPr>
          <w:highlight w:val="none"/>
        </w:rPr>
      </w:r>
      <w:bookmarkEnd w:id="46"/>
      <w:r>
        <w:rPr>
          <w:highlight w:val="none"/>
        </w:rPr>
      </w:r>
      <w:r/>
    </w:p>
    <w:p>
      <w:pPr>
        <w:pStyle w:val="961"/>
        <w:ind w:firstLine="498"/>
        <w:spacing w:before="145" w:after="145" w:line="400" w:lineRule="exact"/>
        <w:rPr>
          <w:rFonts w:hint="eastAsia"/>
          <w:color w:val="000000"/>
          <w:highlight w:val="none"/>
        </w:rPr>
      </w:pPr>
      <w:r>
        <w:rPr>
          <w:highlight w:val="none"/>
        </w:rPr>
      </w:r>
      <w:bookmarkStart w:id="47" w:name="_Toc513029203"/>
      <w:r>
        <w:rPr>
          <w:highlight w:val="none"/>
        </w:rPr>
      </w:r>
      <w:bookmarkStart w:id="48" w:name="_Toc20823275"/>
      <w:r>
        <w:rPr>
          <w:highlight w:val="none"/>
        </w:rPr>
      </w:r>
      <w:bookmarkStart w:id="49" w:name="_Toc120614214"/>
      <w:r>
        <w:rPr>
          <w:highlight w:val="none"/>
        </w:rPr>
      </w:r>
      <w:bookmarkStart w:id="50" w:name="_Toc16938519"/>
      <w:r>
        <w:rPr>
          <w:rFonts w:hint="eastAsia"/>
          <w:color w:val="000000"/>
          <w:highlight w:val="none"/>
        </w:rPr>
        <w:t xml:space="preserve">一、总则</w:t>
      </w:r>
      <w:bookmarkEnd w:id="47"/>
      <w:r>
        <w:rPr>
          <w:highlight w:val="none"/>
        </w:rPr>
      </w:r>
      <w:bookmarkEnd w:id="48"/>
      <w:r>
        <w:rPr>
          <w:highlight w:val="none"/>
        </w:rPr>
      </w:r>
      <w:bookmarkEnd w:id="49"/>
      <w:r>
        <w:rPr>
          <w:highlight w:val="none"/>
        </w:rPr>
      </w:r>
      <w:bookmarkEnd w:id="50"/>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51" w:name="_Hlt16619475"/>
      <w:r>
        <w:rPr>
          <w:highlight w:val="none"/>
        </w:rPr>
      </w:r>
      <w:bookmarkEnd w:id="51"/>
      <w:r>
        <w:rPr>
          <w:highlight w:val="none"/>
        </w:rPr>
      </w:r>
      <w:bookmarkStart w:id="52" w:name="_Toc458694821"/>
      <w:r>
        <w:rPr>
          <w:highlight w:val="none"/>
        </w:rPr>
      </w:r>
      <w:bookmarkStart w:id="53" w:name="_Toc513029204"/>
      <w:r>
        <w:rPr>
          <w:highlight w:val="none"/>
        </w:rPr>
      </w:r>
      <w:bookmarkStart w:id="54" w:name="_Toc20823276"/>
      <w:r>
        <w:rPr>
          <w:highlight w:val="none"/>
        </w:rPr>
      </w:r>
      <w:bookmarkStart w:id="55" w:name="_Toc16938520"/>
      <w:r>
        <w:rPr>
          <w:rFonts w:hint="eastAsia"/>
          <w:b w:val="0"/>
          <w:bCs w:val="0"/>
          <w:color w:val="000000"/>
          <w:highlight w:val="none"/>
        </w:rPr>
        <w:t xml:space="preserve">1</w:t>
      </w:r>
      <w:bookmarkEnd w:id="52"/>
      <w:r>
        <w:rPr>
          <w:rFonts w:hint="eastAsia"/>
          <w:b w:val="0"/>
          <w:bCs w:val="0"/>
          <w:color w:val="000000"/>
          <w:highlight w:val="none"/>
        </w:rPr>
        <w:t xml:space="preserve">、招标方式</w:t>
      </w:r>
      <w:bookmarkEnd w:id="53"/>
      <w:r>
        <w:rPr>
          <w:highlight w:val="none"/>
        </w:rPr>
      </w:r>
      <w:bookmarkEnd w:id="54"/>
      <w:r>
        <w:rPr>
          <w:highlight w:val="none"/>
        </w:rPr>
      </w:r>
      <w:bookmarkEnd w:id="55"/>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56" w:name="_Toc513029205"/>
      <w:r>
        <w:rPr>
          <w:highlight w:val="none"/>
        </w:rPr>
      </w:r>
      <w:bookmarkStart w:id="57" w:name="_Toc20823277"/>
      <w:r>
        <w:rPr>
          <w:highlight w:val="none"/>
        </w:rPr>
      </w:r>
      <w:bookmarkStart w:id="58" w:name="_Toc16938521"/>
      <w:r>
        <w:rPr>
          <w:rFonts w:hint="eastAsia"/>
          <w:b w:val="0"/>
          <w:bCs w:val="0"/>
          <w:color w:val="000000"/>
          <w:highlight w:val="none"/>
        </w:rPr>
        <w:t xml:space="preserve">2、合格的投标人</w:t>
      </w:r>
      <w:bookmarkEnd w:id="56"/>
      <w:r>
        <w:rPr>
          <w:highlight w:val="none"/>
        </w:rPr>
      </w:r>
      <w:bookmarkEnd w:id="57"/>
      <w:r>
        <w:rPr>
          <w:highlight w:val="none"/>
        </w:rPr>
      </w:r>
      <w:bookmarkEnd w:id="58"/>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highlight w:val="none"/>
        </w:rPr>
      </w:r>
      <w:r/>
    </w:p>
    <w:p>
      <w:pPr>
        <w:pStyle w:val="962"/>
        <w:ind w:firstLine="422"/>
        <w:spacing w:before="0" w:after="0" w:line="400" w:lineRule="exact"/>
        <w:rPr>
          <w:rFonts w:hint="eastAsia" w:ascii="Arial" w:hAnsi="Arial" w:cs="Arial"/>
          <w:b/>
          <w:bCs/>
          <w:color w:val="000000"/>
          <w:highlight w:val="none"/>
        </w:rPr>
      </w:pPr>
      <w:r>
        <w:rPr>
          <w:highlight w:val="none"/>
        </w:rPr>
      </w:r>
      <w:bookmarkStart w:id="59" w:name="_Toc20823278"/>
      <w:r>
        <w:rPr>
          <w:highlight w:val="none"/>
        </w:rPr>
      </w:r>
      <w:bookmarkStart w:id="60" w:name="_Toc16938522"/>
      <w:r>
        <w:rPr>
          <w:highlight w:val="none"/>
        </w:rPr>
      </w:r>
      <w:bookmarkStart w:id="61" w:name="_Toc513029206"/>
      <w:r>
        <w:rPr>
          <w:rFonts w:hint="eastAsia" w:ascii="Arial" w:hAnsi="Arial" w:cs="Arial"/>
          <w:b/>
          <w:bCs/>
          <w:color w:val="000000"/>
          <w:highlight w:val="none"/>
        </w:rPr>
        <w:t xml:space="preserve">3、适用法律</w:t>
      </w:r>
      <w:bookmarkEnd w:id="59"/>
      <w:r>
        <w:rPr>
          <w:highlight w:val="none"/>
        </w:rPr>
      </w:r>
      <w:bookmarkEnd w:id="60"/>
      <w:r>
        <w:rPr>
          <w:highlight w:val="none"/>
        </w:rPr>
      </w:r>
      <w:bookmarkEnd w:id="61"/>
      <w:r>
        <w:rPr>
          <w:rFonts w:hint="eastAsia" w:ascii="Arial" w:hAnsi="Arial" w:cs="Arial"/>
          <w:b/>
          <w:bCs/>
          <w:color w:val="000000"/>
          <w:highlight w:val="none"/>
          <w:lang w:eastAsia="zh-CN"/>
        </w:rPr>
        <w:t xml:space="preserve">和标准</w:t>
      </w:r>
      <w:r>
        <w:rPr>
          <w:highlight w:val="none"/>
        </w:rPr>
      </w:r>
      <w:r/>
    </w:p>
    <w:p>
      <w:pPr>
        <w:pStyle w:val="958"/>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highlight w:val="none"/>
        </w:rPr>
      </w:r>
      <w:r/>
    </w:p>
    <w:p>
      <w:pPr>
        <w:pStyle w:val="958"/>
        <w:ind w:firstLine="420"/>
        <w:spacing w:line="400" w:lineRule="exact"/>
        <w:rPr>
          <w:rFonts w:hint="eastAsia" w:ascii="宋体" w:hAnsi="宋体" w:eastAsia="宋体" w:cs="Times New Roman"/>
          <w:color w:val="000000"/>
          <w:sz w:val="24"/>
          <w:highlight w:val="none"/>
        </w:rPr>
      </w:pPr>
      <w:r>
        <w:rPr>
          <w:highlight w:val="none"/>
        </w:rPr>
      </w:r>
      <w:bookmarkStart w:id="62" w:name="_Toc513029207"/>
      <w:r>
        <w:rPr>
          <w:highlight w:val="none"/>
        </w:rPr>
      </w:r>
      <w:bookmarkStart w:id="63" w:name="_Toc20823279"/>
      <w:r>
        <w:rPr>
          <w:highlight w:val="none"/>
        </w:rPr>
      </w:r>
      <w:bookmarkStart w:id="64" w:name="_Toc462564067"/>
      <w:r>
        <w:rPr>
          <w:highlight w:val="none"/>
        </w:rPr>
      </w:r>
      <w:bookmarkStart w:id="65" w:name="_Toc16938523"/>
      <w:r>
        <w:rPr>
          <w:rFonts w:hint="eastAsia" w:ascii="宋体" w:hAnsi="宋体" w:eastAsia="宋体" w:cs="Times New Roman"/>
          <w:color w:val="000000"/>
          <w:sz w:val="24"/>
          <w:highlight w:val="none"/>
          <w:lang w:val="en-US" w:eastAsia="zh-CN"/>
        </w:rPr>
        <w:t xml:space="preserve">3.2 在本项目政府采购活动过程中，如果所执行的标准有更新的，按照最新标准执行。</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4、投标费用</w:t>
      </w:r>
      <w:bookmarkEnd w:id="62"/>
      <w:r>
        <w:rPr>
          <w:highlight w:val="none"/>
        </w:rPr>
      </w:r>
      <w:bookmarkEnd w:id="63"/>
      <w:r>
        <w:rPr>
          <w:highlight w:val="none"/>
        </w:rPr>
      </w:r>
      <w:bookmarkEnd w:id="64"/>
      <w:r>
        <w:rPr>
          <w:highlight w:val="none"/>
        </w:rPr>
      </w:r>
      <w:bookmarkEnd w:id="65"/>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4.2本次招标采购中心和采购人不收取标书工本费与中标服务费。</w:t>
      </w:r>
      <w:r>
        <w:rPr>
          <w:highlight w:val="none"/>
        </w:rPr>
      </w:r>
      <w:r/>
    </w:p>
    <w:p>
      <w:pPr>
        <w:pStyle w:val="962"/>
        <w:ind w:firstLine="602"/>
        <w:spacing w:before="0" w:after="0" w:line="40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highlight w:val="none"/>
        </w:rPr>
      </w:r>
      <w:r/>
    </w:p>
    <w:p>
      <w:pPr>
        <w:pStyle w:val="961"/>
        <w:ind w:firstLine="321"/>
        <w:spacing w:before="145" w:after="145" w:line="400" w:lineRule="exact"/>
        <w:rPr>
          <w:rFonts w:hint="eastAsia"/>
          <w:color w:val="000000"/>
          <w:highlight w:val="none"/>
        </w:rPr>
      </w:pPr>
      <w:r>
        <w:rPr>
          <w:highlight w:val="none"/>
        </w:rPr>
      </w:r>
      <w:bookmarkStart w:id="66" w:name="_Toc120614215"/>
      <w:r>
        <w:rPr>
          <w:highlight w:val="none"/>
        </w:rPr>
      </w:r>
      <w:bookmarkStart w:id="67" w:name="_Toc16938525"/>
      <w:r>
        <w:rPr>
          <w:highlight w:val="none"/>
        </w:rPr>
      </w:r>
      <w:bookmarkStart w:id="68" w:name="_Toc20823281"/>
      <w:r>
        <w:rPr>
          <w:highlight w:val="none"/>
        </w:rPr>
      </w:r>
      <w:bookmarkStart w:id="69" w:name="_Toc513029209"/>
      <w:r>
        <w:rPr>
          <w:rFonts w:hint="eastAsia"/>
          <w:color w:val="000000"/>
          <w:highlight w:val="none"/>
        </w:rPr>
        <w:t xml:space="preserve">二、招标文件</w:t>
      </w:r>
      <w:bookmarkEnd w:id="66"/>
      <w:r>
        <w:rPr>
          <w:highlight w:val="none"/>
        </w:rPr>
      </w:r>
      <w:bookmarkEnd w:id="67"/>
      <w:r>
        <w:rPr>
          <w:highlight w:val="none"/>
        </w:rPr>
      </w:r>
      <w:bookmarkEnd w:id="68"/>
      <w:r>
        <w:rPr>
          <w:highlight w:val="none"/>
        </w:rPr>
      </w:r>
      <w:bookmarkEnd w:id="69"/>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70" w:name="_Toc16938526"/>
      <w:r>
        <w:rPr>
          <w:highlight w:val="none"/>
        </w:rPr>
      </w:r>
      <w:bookmarkStart w:id="71" w:name="_Toc513029210"/>
      <w:r>
        <w:rPr>
          <w:highlight w:val="none"/>
        </w:rPr>
      </w:r>
      <w:bookmarkStart w:id="72" w:name="_Toc20823282"/>
      <w:r>
        <w:rPr>
          <w:rFonts w:hint="eastAsia"/>
          <w:b w:val="0"/>
          <w:bCs w:val="0"/>
          <w:color w:val="000000"/>
          <w:highlight w:val="none"/>
        </w:rPr>
        <w:t xml:space="preserve">6、招标文件构成</w:t>
      </w:r>
      <w:bookmarkEnd w:id="70"/>
      <w:r>
        <w:rPr>
          <w:highlight w:val="none"/>
        </w:rPr>
      </w:r>
      <w:bookmarkEnd w:id="71"/>
      <w:r>
        <w:rPr>
          <w:highlight w:val="none"/>
        </w:rPr>
      </w:r>
      <w:bookmarkEnd w:id="72"/>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（5）评标方法与评标标准</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请仔细检查招标文件是否齐全，如有缺漏请立即与采购中心联系解决。</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62"/>
        <w:ind w:firstLine="560"/>
        <w:spacing w:before="0" w:after="0" w:line="400" w:lineRule="exact"/>
        <w:rPr>
          <w:rFonts w:hint="eastAsia"/>
          <w:b w:val="0"/>
          <w:bCs w:val="0"/>
          <w:color w:val="000000"/>
          <w:highlight w:val="none"/>
        </w:rPr>
      </w:pPr>
      <w:r>
        <w:rPr>
          <w:highlight w:val="none"/>
        </w:rPr>
      </w:r>
      <w:bookmarkStart w:id="73" w:name="_Toc16938528"/>
      <w:r>
        <w:rPr>
          <w:highlight w:val="none"/>
        </w:rPr>
      </w:r>
      <w:bookmarkStart w:id="74" w:name="_Toc513029212"/>
      <w:r>
        <w:rPr>
          <w:highlight w:val="none"/>
        </w:rPr>
      </w:r>
      <w:bookmarkStart w:id="75" w:name="_Toc20823284"/>
      <w:r>
        <w:rPr>
          <w:highlight w:val="none"/>
        </w:rPr>
      </w:r>
      <w:bookmarkStart w:id="76" w:name="_Toc462564071"/>
      <w:r>
        <w:rPr>
          <w:b w:val="0"/>
          <w:bCs w:val="0"/>
          <w:color w:val="000000"/>
          <w:highlight w:val="none"/>
        </w:rPr>
        <w:t xml:space="preserve">7</w:t>
      </w:r>
      <w:r>
        <w:rPr>
          <w:rFonts w:hint="eastAsia"/>
          <w:b w:val="0"/>
          <w:bCs w:val="0"/>
          <w:color w:val="000000"/>
          <w:highlight w:val="none"/>
        </w:rPr>
        <w:t xml:space="preserve">、招标文件的修改</w:t>
      </w:r>
      <w:bookmarkEnd w:id="73"/>
      <w:r>
        <w:rPr>
          <w:highlight w:val="none"/>
        </w:rPr>
      </w:r>
      <w:bookmarkEnd w:id="74"/>
      <w:r>
        <w:rPr>
          <w:highlight w:val="none"/>
        </w:rPr>
      </w:r>
      <w:bookmarkEnd w:id="75"/>
      <w:r>
        <w:rPr>
          <w:highlight w:val="none"/>
        </w:rPr>
      </w:r>
      <w:bookmarkEnd w:id="76"/>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，采购中心可以对招标文件进行修改。</w:t>
      </w:r>
      <w:r>
        <w:rPr>
          <w:highlight w:val="none"/>
        </w:rPr>
      </w:r>
      <w:r/>
    </w:p>
    <w:p>
      <w:pPr>
        <w:pStyle w:val="958"/>
        <w:ind w:firstLine="480"/>
        <w:spacing w:line="400" w:lineRule="exact"/>
        <w:rPr>
          <w:rFonts w:hint="eastAsia" w:ascii="宋体" w:hAnsi="Arial"/>
          <w:color w:val="000000"/>
          <w:sz w:val="28"/>
          <w:highlight w:val="none"/>
        </w:rPr>
      </w:pPr>
      <w:r>
        <w:rPr>
          <w:rFonts w:hint="eastAsia" w:ascii="宋体" w:hAnsi="宋体"/>
          <w:bCs/>
          <w:color w:val="000000"/>
          <w:sz w:val="24"/>
          <w:highlight w:val="none"/>
        </w:rPr>
        <w:t xml:space="preserve">7.2 </w:t>
      </w:r>
      <w:r>
        <w:rPr>
          <w:rFonts w:hint="eastAsia" w:ascii="宋体" w:hAnsi="宋体"/>
          <w:color w:val="000000"/>
          <w:sz w:val="24"/>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7.3 </w:t>
      </w:r>
      <w:r>
        <w:rPr>
          <w:rFonts w:hint="eastAsia" w:ascii="宋体" w:hAnsi="宋体"/>
          <w:color w:val="000000"/>
          <w:sz w:val="24"/>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highlight w:val="none"/>
        </w:rPr>
      </w:r>
      <w:r/>
    </w:p>
    <w:p>
      <w:pPr>
        <w:pStyle w:val="961"/>
        <w:ind w:firstLine="482"/>
        <w:spacing w:before="145" w:after="145" w:line="400" w:lineRule="exact"/>
        <w:rPr>
          <w:rFonts w:hint="eastAsia"/>
          <w:color w:val="000000"/>
          <w:highlight w:val="none"/>
        </w:rPr>
      </w:pPr>
      <w:r>
        <w:rPr>
          <w:highlight w:val="none"/>
        </w:rPr>
      </w:r>
      <w:bookmarkStart w:id="77" w:name="_Toc120614216"/>
      <w:r>
        <w:rPr>
          <w:highlight w:val="none"/>
        </w:rPr>
      </w:r>
      <w:bookmarkStart w:id="78" w:name="_Toc513029213"/>
      <w:r>
        <w:rPr>
          <w:highlight w:val="none"/>
        </w:rPr>
      </w:r>
      <w:bookmarkStart w:id="79" w:name="_Toc462564072"/>
      <w:r>
        <w:rPr>
          <w:highlight w:val="none"/>
        </w:rPr>
      </w:r>
      <w:bookmarkStart w:id="80" w:name="_Toc20823285"/>
      <w:r>
        <w:rPr>
          <w:highlight w:val="none"/>
        </w:rPr>
      </w:r>
      <w:bookmarkStart w:id="81" w:name="_Toc16938529"/>
      <w:r>
        <w:rPr>
          <w:rFonts w:hint="eastAsia"/>
          <w:color w:val="000000"/>
          <w:highlight w:val="none"/>
        </w:rPr>
        <w:t xml:space="preserve">三、投标文件的编制</w:t>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r/>
    </w:p>
    <w:p>
      <w:pPr>
        <w:pStyle w:val="962"/>
        <w:ind w:firstLine="560"/>
        <w:spacing w:before="0" w:after="0" w:line="400" w:lineRule="exact"/>
        <w:rPr>
          <w:rFonts w:hint="eastAsia"/>
          <w:bCs w:val="0"/>
          <w:color w:val="000000"/>
          <w:highlight w:val="none"/>
        </w:rPr>
      </w:pPr>
      <w:r>
        <w:rPr>
          <w:highlight w:val="none"/>
        </w:rPr>
      </w:r>
      <w:bookmarkStart w:id="82" w:name="_Toc16938530"/>
      <w:r>
        <w:rPr>
          <w:highlight w:val="none"/>
        </w:rPr>
      </w:r>
      <w:bookmarkStart w:id="83" w:name="_Toc513029214"/>
      <w:r>
        <w:rPr>
          <w:highlight w:val="none"/>
        </w:rPr>
      </w:r>
      <w:bookmarkStart w:id="84" w:name="_Toc20823286"/>
      <w:r>
        <w:rPr>
          <w:highlight w:val="none"/>
        </w:rPr>
      </w:r>
      <w:bookmarkStart w:id="85" w:name="_Toc462564073"/>
      <w:r>
        <w:rPr>
          <w:b w:val="0"/>
          <w:bCs w:val="0"/>
          <w:color w:val="000000"/>
          <w:highlight w:val="none"/>
        </w:rPr>
        <w:t xml:space="preserve">8</w:t>
      </w:r>
      <w:r>
        <w:rPr>
          <w:rFonts w:hint="eastAsia"/>
          <w:b w:val="0"/>
          <w:bCs w:val="0"/>
          <w:color w:val="000000"/>
          <w:highlight w:val="none"/>
        </w:rPr>
        <w:t xml:space="preserve">、投标文件的语言及度量衡单位</w:t>
      </w:r>
      <w:bookmarkEnd w:id="82"/>
      <w:r>
        <w:rPr>
          <w:highlight w:val="none"/>
        </w:rPr>
      </w:r>
      <w:bookmarkEnd w:id="83"/>
      <w:r>
        <w:rPr>
          <w:highlight w:val="none"/>
        </w:rPr>
      </w:r>
      <w:bookmarkEnd w:id="84"/>
      <w:r>
        <w:rPr>
          <w:highlight w:val="none"/>
        </w:rPr>
      </w:r>
      <w:bookmarkEnd w:id="85"/>
      <w:r>
        <w:rPr>
          <w:highlight w:val="none"/>
        </w:rPr>
      </w:r>
      <w:r/>
    </w:p>
    <w:p>
      <w:pPr>
        <w:pStyle w:val="95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投标人提交的投标文件以及投标人与采购中心就有关投标的所有来往通知、函件和文件均应使用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.2</w:t>
      </w:r>
      <w:r>
        <w:rPr>
          <w:rFonts w:hint="eastAsia" w:ascii="宋体" w:hAnsi="宋体"/>
          <w:color w:val="000000"/>
          <w:sz w:val="24"/>
          <w:highlight w:val="none"/>
        </w:rPr>
        <w:t xml:space="preserve"> 除技术性能另有规定外，投标文件所使用的度量衡单位，均须采用国家法定计量单位。</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86" w:name="_Toc20823287"/>
      <w:r>
        <w:rPr>
          <w:highlight w:val="none"/>
        </w:rPr>
      </w:r>
      <w:bookmarkStart w:id="87" w:name="_Toc16938531"/>
      <w:r>
        <w:rPr>
          <w:highlight w:val="none"/>
        </w:rPr>
      </w:r>
      <w:bookmarkStart w:id="88" w:name="_Toc513029215"/>
      <w:r>
        <w:rPr>
          <w:highlight w:val="none"/>
        </w:rPr>
      </w:r>
      <w:bookmarkStart w:id="89" w:name="_Toc462564074"/>
      <w:r>
        <w:rPr>
          <w:b w:val="0"/>
          <w:bCs w:val="0"/>
          <w:color w:val="000000"/>
          <w:highlight w:val="none"/>
        </w:rPr>
        <w:t xml:space="preserve">9</w:t>
      </w:r>
      <w:r>
        <w:rPr>
          <w:rFonts w:hint="eastAsia"/>
          <w:b w:val="0"/>
          <w:bCs w:val="0"/>
          <w:color w:val="000000"/>
          <w:highlight w:val="none"/>
        </w:rPr>
        <w:t xml:space="preserve">、投标文件构成</w:t>
      </w:r>
      <w:bookmarkEnd w:id="86"/>
      <w:r>
        <w:rPr>
          <w:highlight w:val="none"/>
        </w:rPr>
      </w:r>
      <w:bookmarkEnd w:id="87"/>
      <w:r>
        <w:rPr>
          <w:highlight w:val="none"/>
        </w:rPr>
      </w:r>
      <w:bookmarkEnd w:id="88"/>
      <w:r>
        <w:rPr>
          <w:highlight w:val="none"/>
        </w:rPr>
      </w:r>
      <w:bookmarkEnd w:id="89"/>
      <w:r>
        <w:rPr>
          <w:highlight w:val="none"/>
        </w:rPr>
      </w:r>
      <w:r/>
    </w:p>
    <w:p>
      <w:pPr>
        <w:pStyle w:val="95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9</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highlight w:val="none"/>
        </w:rPr>
        <w:t xml:space="preserve">、投标分项报价表、技术要求响应及偏离表、商务要求响应及偏离表、其他证明文件、投标函、开标一览表等部分。</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.2 如标书制作工具中格式和内容与“江苏政府采购网”发布的招标文件不一致，请以“江苏政府采购网”发布的招标文件为准。</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90" w:name="_Hlt26670360"/>
      <w:r>
        <w:rPr>
          <w:highlight w:val="none"/>
        </w:rPr>
      </w:r>
      <w:bookmarkEnd w:id="90"/>
      <w:r>
        <w:rPr>
          <w:highlight w:val="none"/>
        </w:rPr>
      </w:r>
      <w:bookmarkStart w:id="91" w:name="_Toc14577354"/>
      <w:r>
        <w:rPr>
          <w:highlight w:val="none"/>
        </w:rPr>
      </w:r>
      <w:bookmarkStart w:id="92" w:name="_Toc49090507"/>
      <w:r>
        <w:rPr>
          <w:highlight w:val="none"/>
        </w:rPr>
      </w:r>
      <w:bookmarkStart w:id="93" w:name="_Hlt26668975"/>
      <w:r>
        <w:rPr>
          <w:highlight w:val="none"/>
        </w:rPr>
      </w:r>
      <w:bookmarkEnd w:id="93"/>
      <w:r>
        <w:rPr>
          <w:highlight w:val="none"/>
        </w:rPr>
      </w:r>
      <w:bookmarkStart w:id="94" w:name="_Toc513029216"/>
      <w:r>
        <w:rPr>
          <w:highlight w:val="none"/>
        </w:rPr>
      </w:r>
      <w:bookmarkStart w:id="95" w:name="_Hlt26954838"/>
      <w:r>
        <w:rPr>
          <w:highlight w:val="none"/>
        </w:rPr>
      </w:r>
      <w:bookmarkEnd w:id="95"/>
      <w:r>
        <w:rPr>
          <w:highlight w:val="none"/>
        </w:rPr>
      </w:r>
      <w:bookmarkStart w:id="96" w:name="_Toc14577357"/>
      <w:r>
        <w:rPr>
          <w:highlight w:val="none"/>
        </w:rPr>
      </w:r>
      <w:bookmarkStart w:id="97" w:name="_Toc49090509"/>
      <w:r>
        <w:rPr>
          <w:highlight w:val="none"/>
        </w:rPr>
      </w:r>
      <w:bookmarkStart w:id="98" w:name="_Toc513029219"/>
      <w:r>
        <w:rPr>
          <w:rFonts w:hint="eastAsia"/>
          <w:b w:val="0"/>
          <w:bCs w:val="0"/>
          <w:color w:val="000000"/>
          <w:highlight w:val="none"/>
        </w:rPr>
        <w:t xml:space="preserve">1</w:t>
      </w:r>
      <w:r>
        <w:rPr>
          <w:b w:val="0"/>
          <w:bCs w:val="0"/>
          <w:color w:val="000000"/>
          <w:highlight w:val="none"/>
        </w:rPr>
        <w:t xml:space="preserve">0</w:t>
      </w:r>
      <w:r>
        <w:rPr>
          <w:rFonts w:hint="eastAsia"/>
          <w:b w:val="0"/>
          <w:bCs w:val="0"/>
          <w:color w:val="000000"/>
          <w:highlight w:val="none"/>
        </w:rPr>
        <w:t xml:space="preserve">、证明投标人及投标标的符合招标文件规定的文件</w:t>
      </w:r>
      <w:bookmarkEnd w:id="96"/>
      <w:r>
        <w:rPr>
          <w:highlight w:val="none"/>
        </w:rPr>
      </w:r>
      <w:bookmarkEnd w:id="97"/>
      <w:r>
        <w:rPr>
          <w:highlight w:val="none"/>
        </w:rPr>
      </w:r>
      <w:bookmarkEnd w:id="98"/>
      <w:r>
        <w:rPr>
          <w:highlight w:val="none"/>
        </w:rPr>
      </w:r>
      <w:r/>
    </w:p>
    <w:p>
      <w:pPr>
        <w:pStyle w:val="958"/>
        <w:spacing w:line="400" w:lineRule="exact"/>
        <w:rPr>
          <w:rFonts w:hint="eastAsia" w:ascii="宋体" w:hAnsi="宋体"/>
          <w:color w:val="000000"/>
          <w:sz w:val="24"/>
          <w:szCs w:val="24"/>
          <w:highlight w:val="none"/>
        </w:rPr>
      </w:pPr>
      <w:r>
        <w:rPr>
          <w:highlight w:val="none"/>
        </w:rPr>
      </w:r>
      <w:bookmarkEnd w:id="91"/>
      <w:r>
        <w:rPr>
          <w:highlight w:val="none"/>
        </w:rPr>
      </w:r>
      <w:bookmarkEnd w:id="92"/>
      <w:r>
        <w:rPr>
          <w:highlight w:val="none"/>
        </w:rPr>
      </w:r>
      <w:bookmarkEnd w:id="94"/>
      <w:r>
        <w:rPr>
          <w:highlight w:val="none"/>
        </w:rPr>
      </w:r>
      <w:bookmarkStart w:id="99" w:name="_Toc14577355"/>
      <w:r>
        <w:rPr>
          <w:highlight w:val="none"/>
        </w:rPr>
      </w:r>
      <w:bookmarkStart w:id="100" w:name="_Toc49090508"/>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投标人应按照法律、法规、规章和规范性文件以及招标文件要求提交证明文件，证明其及投标标的符合招标文件规定。</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1</w:t>
      </w:r>
      <w:r>
        <w:rPr>
          <w:rFonts w:hint="eastAsia"/>
          <w:b w:val="0"/>
          <w:bCs w:val="0"/>
          <w:color w:val="000000"/>
          <w:highlight w:val="none"/>
        </w:rPr>
        <w:t xml:space="preserve">、投标分项报价</w:t>
      </w:r>
      <w:bookmarkEnd w:id="99"/>
      <w:r>
        <w:rPr>
          <w:highlight w:val="none"/>
        </w:rPr>
      </w:r>
      <w:bookmarkStart w:id="101" w:name="_Hlt26670373"/>
      <w:r>
        <w:rPr>
          <w:highlight w:val="none"/>
        </w:rPr>
      </w:r>
      <w:bookmarkEnd w:id="101"/>
      <w:r>
        <w:rPr>
          <w:rFonts w:hint="eastAsia"/>
          <w:b w:val="0"/>
          <w:bCs w:val="0"/>
          <w:color w:val="000000"/>
          <w:highlight w:val="none"/>
        </w:rPr>
        <w:t xml:space="preserve">表</w:t>
      </w:r>
      <w:bookmarkEnd w:id="100"/>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1</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w:t>
      </w:r>
      <w:bookmarkStart w:id="102" w:name="_Hlt26954840"/>
      <w:r>
        <w:rPr>
          <w:highlight w:val="none"/>
        </w:rPr>
      </w:r>
      <w:bookmarkEnd w:id="102"/>
      <w:r>
        <w:rPr>
          <w:rFonts w:hint="eastAsia" w:ascii="宋体" w:hAnsi="宋体"/>
          <w:color w:val="000000"/>
          <w:sz w:val="24"/>
          <w:highlight w:val="none"/>
        </w:rPr>
        <w:t xml:space="preserve">标人按照招标文件规定格式填报投标分项报价表</w:t>
      </w:r>
      <w:bookmarkStart w:id="103" w:name="_Hlt26670399"/>
      <w:r>
        <w:rPr>
          <w:highlight w:val="none"/>
        </w:rPr>
      </w:r>
      <w:bookmarkEnd w:id="103"/>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04" w:name="_Hlt26670482"/>
      <w:r>
        <w:rPr>
          <w:highlight w:val="none"/>
        </w:rPr>
      </w:r>
      <w:bookmarkEnd w:id="104"/>
      <w:r>
        <w:rPr>
          <w:highlight w:val="none"/>
        </w:rPr>
      </w:r>
      <w:bookmarkStart w:id="105" w:name="_Hlt26954844"/>
      <w:r>
        <w:rPr>
          <w:highlight w:val="none"/>
        </w:rPr>
      </w:r>
      <w:bookmarkEnd w:id="105"/>
      <w:r>
        <w:rPr>
          <w:highlight w:val="none"/>
        </w:rPr>
      </w:r>
      <w:bookmarkStart w:id="106" w:name="_Hlt26668983"/>
      <w:r>
        <w:rPr>
          <w:highlight w:val="none"/>
        </w:rPr>
      </w:r>
      <w:bookmarkEnd w:id="106"/>
      <w:r>
        <w:rPr>
          <w:highlight w:val="none"/>
        </w:rPr>
      </w:r>
      <w:bookmarkStart w:id="107" w:name="_Hlt26954842"/>
      <w:r>
        <w:rPr>
          <w:highlight w:val="none"/>
        </w:rPr>
      </w:r>
      <w:bookmarkEnd w:id="107"/>
      <w:r>
        <w:rPr>
          <w:highlight w:val="none"/>
        </w:rPr>
      </w:r>
      <w:bookmarkStart w:id="108" w:name="_Hlt26954731"/>
      <w:r>
        <w:rPr>
          <w:highlight w:val="none"/>
        </w:rPr>
      </w:r>
      <w:bookmarkEnd w:id="108"/>
      <w:r>
        <w:rPr>
          <w:highlight w:val="none"/>
        </w:rPr>
      </w:r>
      <w:bookmarkStart w:id="109" w:name="_Hlt26670486"/>
      <w:r>
        <w:rPr>
          <w:highlight w:val="none"/>
        </w:rPr>
      </w:r>
      <w:bookmarkEnd w:id="109"/>
      <w:r>
        <w:rPr>
          <w:highlight w:val="none"/>
        </w:rPr>
      </w:r>
      <w:bookmarkStart w:id="110" w:name="_Hlt26954848"/>
      <w:r>
        <w:rPr>
          <w:highlight w:val="none"/>
        </w:rPr>
      </w:r>
      <w:bookmarkEnd w:id="110"/>
      <w:r>
        <w:rPr>
          <w:highlight w:val="none"/>
        </w:rPr>
      </w:r>
      <w:bookmarkStart w:id="111" w:name="_Hlt26954846"/>
      <w:r>
        <w:rPr>
          <w:highlight w:val="none"/>
        </w:rPr>
      </w:r>
      <w:bookmarkEnd w:id="111"/>
      <w:r>
        <w:rPr>
          <w:highlight w:val="none"/>
        </w:rPr>
      </w:r>
      <w:bookmarkStart w:id="112" w:name="_Hlt26670425"/>
      <w:r>
        <w:rPr>
          <w:highlight w:val="none"/>
        </w:rPr>
      </w:r>
      <w:bookmarkEnd w:id="112"/>
      <w:r>
        <w:rPr>
          <w:highlight w:val="none"/>
        </w:rPr>
      </w:r>
      <w:bookmarkStart w:id="113" w:name="_Hlt26670403"/>
      <w:r>
        <w:rPr>
          <w:highlight w:val="none"/>
        </w:rPr>
      </w:r>
      <w:bookmarkEnd w:id="113"/>
      <w:r>
        <w:rPr>
          <w:rFonts w:hint="eastAsia"/>
          <w:b w:val="0"/>
          <w:bCs w:val="0"/>
          <w:color w:val="000000"/>
          <w:highlight w:val="none"/>
        </w:rPr>
        <w:t xml:space="preserve">1</w:t>
      </w:r>
      <w:r>
        <w:rPr>
          <w:b w:val="0"/>
          <w:bCs w:val="0"/>
          <w:color w:val="000000"/>
          <w:highlight w:val="none"/>
        </w:rPr>
        <w:t xml:space="preserve">2</w:t>
      </w:r>
      <w:r>
        <w:rPr>
          <w:rFonts w:hint="eastAsia"/>
          <w:b w:val="0"/>
          <w:bCs w:val="0"/>
          <w:color w:val="000000"/>
          <w:highlight w:val="none"/>
        </w:rPr>
        <w:t xml:space="preserve">、技术要求响应及偏离表、商务要求响应及偏离表</w:t>
      </w:r>
      <w:r>
        <w:rPr>
          <w:highlight w:val="none"/>
        </w:rPr>
      </w:r>
      <w:r/>
    </w:p>
    <w:p>
      <w:pPr>
        <w:pStyle w:val="958"/>
        <w:ind w:firstLine="480"/>
        <w:spacing w:line="400" w:lineRule="exact"/>
        <w:rPr>
          <w:rFonts w:hint="eastAsia" w:ascii="宋体" w:hAnsi="Arial" w:cs="宋体"/>
          <w:color w:val="000000"/>
          <w:sz w:val="24"/>
          <w:highlight w:val="none"/>
        </w:rPr>
      </w:pPr>
      <w:r>
        <w:rPr>
          <w:rFonts w:ascii="宋体" w:hAnsi="Arial" w:cs="宋体"/>
          <w:bCs/>
          <w:color w:val="000000"/>
          <w:sz w:val="24"/>
          <w:highlight w:val="none"/>
          <w:lang w:val="zh-CN"/>
        </w:rPr>
        <w:t xml:space="preserve">12.1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highlight w:val="none"/>
        </w:rPr>
      </w:r>
      <w:r/>
    </w:p>
    <w:p>
      <w:pPr>
        <w:pStyle w:val="958"/>
        <w:ind w:firstLine="480"/>
        <w:spacing w:line="400" w:lineRule="exact"/>
        <w:rPr>
          <w:rFonts w:hint="eastAsia" w:ascii="宋体" w:hAnsi="Arial" w:cs="宋体"/>
          <w:color w:val="000000"/>
          <w:sz w:val="24"/>
          <w:highlight w:val="none"/>
        </w:rPr>
      </w:pPr>
      <w:r>
        <w:rPr>
          <w:highlight w:val="none"/>
        </w:rPr>
      </w:r>
      <w:bookmarkStart w:id="114" w:name="_Toc14577359"/>
      <w:r>
        <w:rPr>
          <w:highlight w:val="none"/>
        </w:rPr>
      </w:r>
      <w:bookmarkStart w:id="115" w:name="_Toc49090510"/>
      <w:r>
        <w:rPr>
          <w:rFonts w:hint="eastAsia" w:ascii="宋体" w:hAnsi="Arial" w:cs="宋体"/>
          <w:color w:val="000000"/>
          <w:sz w:val="24"/>
          <w:highlight w:val="none"/>
          <w:lang w:val="zh-CN"/>
        </w:rPr>
        <w:t xml:space="preserve">1</w:t>
      </w:r>
      <w:r>
        <w:rPr>
          <w:rFonts w:ascii="宋体" w:hAnsi="Arial" w:cs="宋体"/>
          <w:color w:val="000000"/>
          <w:sz w:val="24"/>
          <w:highlight w:val="none"/>
          <w:lang w:val="zh-CN"/>
        </w:rPr>
        <w:t xml:space="preserve">2</w:t>
      </w:r>
      <w:r>
        <w:rPr>
          <w:rFonts w:hint="eastAsia" w:ascii="宋体" w:hAnsi="Arial" w:cs="宋体"/>
          <w:color w:val="000000"/>
          <w:sz w:val="24"/>
          <w:highlight w:val="none"/>
          <w:lang w:val="zh-CN"/>
        </w:rPr>
        <w:t xml:space="preserve">.2 投标人需按照招标文件要求，在投标文件中提供与技术要求和商务要求相关的证明材料。</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3</w:t>
      </w:r>
      <w:r>
        <w:rPr>
          <w:rFonts w:hint="eastAsia"/>
          <w:b w:val="0"/>
          <w:bCs w:val="0"/>
          <w:color w:val="000000"/>
          <w:highlight w:val="none"/>
        </w:rPr>
        <w:t xml:space="preserve">、投标函和开标一览表</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投标人应按照招标文件中提供的格式完整、正确填写投标函、开标一览表。</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End w:id="114"/>
      <w:r>
        <w:rPr>
          <w:highlight w:val="none"/>
        </w:rPr>
      </w:r>
      <w:bookmarkEnd w:id="115"/>
      <w:r>
        <w:rPr>
          <w:highlight w:val="none"/>
        </w:rPr>
      </w:r>
      <w:bookmarkStart w:id="116" w:name="_Toc49090511"/>
      <w:r>
        <w:rPr>
          <w:highlight w:val="none"/>
        </w:rPr>
      </w:r>
      <w:bookmarkStart w:id="117" w:name="_Toc14577360"/>
      <w:r>
        <w:rPr>
          <w:highlight w:val="none"/>
        </w:rPr>
      </w:r>
      <w:bookmarkStart w:id="118" w:name="_Hlt26954850"/>
      <w:r>
        <w:rPr>
          <w:highlight w:val="none"/>
        </w:rPr>
      </w:r>
      <w:bookmarkEnd w:id="118"/>
      <w:r>
        <w:rPr>
          <w:highlight w:val="none"/>
        </w:rPr>
      </w:r>
      <w:bookmarkStart w:id="119" w:name="_Hlt26954734"/>
      <w:r>
        <w:rPr>
          <w:highlight w:val="none"/>
        </w:rPr>
      </w:r>
      <w:bookmarkEnd w:id="119"/>
      <w:r>
        <w:rPr>
          <w:highlight w:val="none"/>
        </w:rPr>
      </w:r>
      <w:bookmarkStart w:id="120" w:name="_Hlt26670489"/>
      <w:r>
        <w:rPr>
          <w:highlight w:val="none"/>
        </w:rPr>
      </w:r>
      <w:bookmarkEnd w:id="120"/>
      <w:r>
        <w:rPr>
          <w:rFonts w:hint="eastAsia"/>
          <w:b w:val="0"/>
          <w:bCs w:val="0"/>
          <w:color w:val="000000"/>
          <w:highlight w:val="none"/>
        </w:rPr>
        <w:t xml:space="preserve">1</w:t>
      </w:r>
      <w:r>
        <w:rPr>
          <w:b w:val="0"/>
          <w:bCs w:val="0"/>
          <w:color w:val="000000"/>
          <w:highlight w:val="none"/>
        </w:rPr>
        <w:t xml:space="preserve">4</w:t>
      </w:r>
      <w:r>
        <w:rPr>
          <w:rFonts w:hint="eastAsia"/>
          <w:b w:val="0"/>
          <w:bCs w:val="0"/>
          <w:color w:val="000000"/>
          <w:highlight w:val="none"/>
        </w:rPr>
        <w:t xml:space="preserve">、投标有效期</w:t>
      </w:r>
      <w:bookmarkEnd w:id="116"/>
      <w:r>
        <w:rPr>
          <w:highlight w:val="none"/>
        </w:rPr>
      </w:r>
      <w:bookmarkEnd w:id="117"/>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.1</w:t>
      </w:r>
      <w:r>
        <w:rPr>
          <w:rFonts w:hint="eastAsia" w:ascii="宋体" w:hAnsi="宋体"/>
          <w:bCs/>
          <w:color w:val="000000"/>
          <w:sz w:val="24"/>
          <w:highlight w:val="none"/>
        </w:rPr>
        <w:t xml:space="preserve"> 投标有效期为采购中心规定的开标之日后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5</w:t>
      </w:r>
      <w:r>
        <w:rPr>
          <w:rFonts w:hint="eastAsia"/>
          <w:b w:val="0"/>
          <w:bCs w:val="0"/>
          <w:color w:val="000000"/>
          <w:highlight w:val="none"/>
        </w:rPr>
        <w:t xml:space="preserve">、投标有效期的延长</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5</w:t>
      </w:r>
      <w:r>
        <w:rPr>
          <w:rFonts w:hint="eastAsia" w:ascii="宋体" w:hAnsi="宋体"/>
          <w:color w:val="000000"/>
          <w:sz w:val="24"/>
          <w:highlight w:val="none"/>
        </w:rPr>
        <w:t xml:space="preserve">.1</w:t>
      </w:r>
      <w:r>
        <w:rPr>
          <w:rFonts w:hint="eastAsia" w:ascii="宋体" w:hAnsi="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highlight w:val="none"/>
        </w:rPr>
      </w:r>
      <w:r/>
    </w:p>
    <w:p>
      <w:pPr>
        <w:pStyle w:val="961"/>
        <w:ind w:firstLine="482"/>
        <w:spacing w:before="145" w:after="145" w:line="400" w:lineRule="exact"/>
        <w:rPr>
          <w:rFonts w:hint="eastAsia"/>
          <w:color w:val="000000"/>
          <w:highlight w:val="none"/>
        </w:rPr>
      </w:pPr>
      <w:r>
        <w:rPr>
          <w:highlight w:val="none"/>
        </w:rPr>
      </w:r>
      <w:bookmarkStart w:id="121" w:name="_Hlt26954739"/>
      <w:r>
        <w:rPr>
          <w:highlight w:val="none"/>
        </w:rPr>
      </w:r>
      <w:bookmarkEnd w:id="121"/>
      <w:r>
        <w:rPr>
          <w:highlight w:val="none"/>
        </w:rPr>
      </w:r>
      <w:bookmarkStart w:id="122" w:name="_Hlt26954852"/>
      <w:r>
        <w:rPr>
          <w:highlight w:val="none"/>
        </w:rPr>
      </w:r>
      <w:bookmarkEnd w:id="122"/>
      <w:r>
        <w:rPr>
          <w:highlight w:val="none"/>
        </w:rPr>
      </w:r>
      <w:bookmarkStart w:id="123" w:name="_Toc16938540"/>
      <w:r>
        <w:rPr>
          <w:highlight w:val="none"/>
        </w:rPr>
      </w:r>
      <w:bookmarkStart w:id="124" w:name="_Toc20823296"/>
      <w:r>
        <w:rPr>
          <w:highlight w:val="none"/>
        </w:rPr>
      </w:r>
      <w:bookmarkStart w:id="125" w:name="_Toc513029224"/>
      <w:r>
        <w:rPr>
          <w:highlight w:val="none"/>
        </w:rPr>
      </w:r>
      <w:bookmarkStart w:id="126" w:name="_Toc120614217"/>
      <w:r>
        <w:rPr>
          <w:rFonts w:hint="eastAsia"/>
          <w:color w:val="000000"/>
          <w:highlight w:val="none"/>
        </w:rPr>
        <w:t xml:space="preserve">四、投标文件的递交</w:t>
      </w:r>
      <w:bookmarkEnd w:id="123"/>
      <w:r>
        <w:rPr>
          <w:highlight w:val="none"/>
        </w:rPr>
      </w:r>
      <w:bookmarkEnd w:id="124"/>
      <w:r>
        <w:rPr>
          <w:highlight w:val="none"/>
        </w:rPr>
      </w:r>
      <w:bookmarkEnd w:id="125"/>
      <w:r>
        <w:rPr>
          <w:highlight w:val="none"/>
        </w:rPr>
      </w:r>
      <w:bookmarkEnd w:id="126"/>
      <w:r>
        <w:rPr>
          <w:highlight w:val="none"/>
        </w:rPr>
      </w:r>
      <w:r/>
    </w:p>
    <w:p>
      <w:pPr>
        <w:pStyle w:val="962"/>
        <w:ind w:firstLine="560"/>
        <w:spacing w:before="0" w:after="0" w:line="400" w:lineRule="exact"/>
        <w:rPr>
          <w:rFonts w:hint="eastAsia" w:ascii="黑体"/>
          <w:b w:val="0"/>
          <w:bCs w:val="0"/>
          <w:color w:val="000000"/>
          <w:highlight w:val="none"/>
        </w:rPr>
      </w:pPr>
      <w:r>
        <w:rPr>
          <w:highlight w:val="none"/>
        </w:rPr>
      </w:r>
      <w:bookmarkStart w:id="127" w:name="_Toc462564084"/>
      <w:r>
        <w:rPr>
          <w:highlight w:val="none"/>
        </w:rPr>
      </w:r>
      <w:bookmarkStart w:id="128" w:name="_Toc20823297"/>
      <w:r>
        <w:rPr>
          <w:highlight w:val="none"/>
        </w:rPr>
      </w:r>
      <w:bookmarkStart w:id="129" w:name="_Toc16938541"/>
      <w:r>
        <w:rPr>
          <w:highlight w:val="none"/>
        </w:rPr>
      </w:r>
      <w:bookmarkStart w:id="130" w:name="_Toc513029225"/>
      <w:r>
        <w:rPr>
          <w:rFonts w:hint="eastAsia"/>
          <w:b w:val="0"/>
          <w:bCs w:val="0"/>
          <w:color w:val="000000"/>
          <w:highlight w:val="none"/>
        </w:rPr>
        <w:t xml:space="preserve">1</w:t>
      </w:r>
      <w:r>
        <w:rPr>
          <w:b w:val="0"/>
          <w:bCs w:val="0"/>
          <w:color w:val="000000"/>
          <w:highlight w:val="none"/>
        </w:rPr>
        <w:t xml:space="preserve">6</w:t>
      </w:r>
      <w:r>
        <w:rPr>
          <w:rFonts w:hint="eastAsia"/>
          <w:b w:val="0"/>
          <w:bCs w:val="0"/>
          <w:color w:val="000000"/>
          <w:highlight w:val="none"/>
        </w:rPr>
        <w:t xml:space="preserve">、</w:t>
      </w:r>
      <w:r>
        <w:rPr>
          <w:rFonts w:hint="eastAsia" w:ascii="黑体"/>
          <w:b w:val="0"/>
          <w:bCs w:val="0"/>
          <w:color w:val="000000"/>
          <w:highlight w:val="none"/>
        </w:rPr>
        <w:t xml:space="preserve">投标文件</w:t>
      </w:r>
      <w:bookmarkEnd w:id="127"/>
      <w:r>
        <w:rPr>
          <w:highlight w:val="none"/>
        </w:rPr>
      </w:r>
      <w:bookmarkEnd w:id="128"/>
      <w:r>
        <w:rPr>
          <w:highlight w:val="none"/>
        </w:rPr>
      </w:r>
      <w:bookmarkEnd w:id="129"/>
      <w:r>
        <w:rPr>
          <w:highlight w:val="none"/>
        </w:rPr>
      </w:r>
      <w:bookmarkEnd w:id="130"/>
      <w:r>
        <w:rPr>
          <w:rFonts w:hint="eastAsia" w:ascii="黑体"/>
          <w:b w:val="0"/>
          <w:bCs w:val="0"/>
          <w:color w:val="000000"/>
          <w:highlight w:val="none"/>
        </w:rPr>
        <w:t xml:space="preserve">的递交</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6</w:t>
      </w:r>
      <w:r>
        <w:rPr>
          <w:rFonts w:hint="eastAsia" w:ascii="宋体" w:hAnsi="宋体"/>
          <w:color w:val="000000"/>
          <w:sz w:val="24"/>
          <w:highlight w:val="none"/>
        </w:rPr>
        <w:t xml:space="preserve">.1</w:t>
      </w:r>
      <w:r>
        <w:rPr>
          <w:rFonts w:hint="eastAsia" w:ascii="宋体" w:hAnsi="宋体"/>
          <w:bCs/>
          <w:color w:val="000000"/>
          <w:sz w:val="24"/>
          <w:highlight w:val="none"/>
        </w:rPr>
        <w:t xml:space="preserve"> 电子投标文件的递交</w:t>
      </w:r>
      <w:r>
        <w:rPr>
          <w:highlight w:val="none"/>
        </w:rPr>
      </w:r>
      <w:r/>
    </w:p>
    <w:p>
      <w:pPr>
        <w:pStyle w:val="1046"/>
        <w:ind w:left="525"/>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rPr>
          <w:highlight w:val="none"/>
        </w:rPr>
      </w:r>
      <w:bookmarkStart w:id="132" w:name="_Toc513029226"/>
      <w:r>
        <w:rPr>
          <w:highlight w:val="none"/>
        </w:rPr>
      </w:r>
      <w:bookmarkStart w:id="133" w:name="_Toc20823298"/>
      <w:r>
        <w:rPr>
          <w:highlight w:val="none"/>
        </w:rPr>
      </w:r>
      <w:r/>
    </w:p>
    <w:p>
      <w:pPr>
        <w:pStyle w:val="962"/>
        <w:ind w:firstLine="420"/>
        <w:spacing w:line="400" w:lineRule="exact"/>
        <w:rPr>
          <w:rFonts w:hint="eastAsia"/>
          <w:b w:val="0"/>
          <w:color w:val="000000"/>
          <w:highlight w:val="none"/>
        </w:rPr>
      </w:pPr>
      <w:r>
        <w:rPr>
          <w:rFonts w:hint="eastAsia"/>
          <w:b w:val="0"/>
          <w:color w:val="000000"/>
          <w:highlight w:val="none"/>
        </w:rPr>
        <w:t xml:space="preserve">1</w:t>
      </w:r>
      <w:r>
        <w:rPr>
          <w:b w:val="0"/>
          <w:color w:val="000000"/>
          <w:highlight w:val="none"/>
        </w:rPr>
        <w:t xml:space="preserve">7</w:t>
      </w:r>
      <w:r>
        <w:rPr>
          <w:rFonts w:hint="eastAsia"/>
          <w:b w:val="0"/>
          <w:color w:val="000000"/>
          <w:highlight w:val="none"/>
        </w:rPr>
        <w:t xml:space="preserve">、投标截止</w:t>
      </w:r>
      <w:bookmarkEnd w:id="131"/>
      <w:r>
        <w:rPr>
          <w:highlight w:val="none"/>
        </w:rPr>
      </w:r>
      <w:bookmarkEnd w:id="132"/>
      <w:r>
        <w:rPr>
          <w:highlight w:val="none"/>
        </w:rPr>
      </w:r>
      <w:bookmarkEnd w:id="133"/>
      <w:r>
        <w:rPr>
          <w:rFonts w:hint="eastAsia"/>
          <w:b w:val="0"/>
          <w:color w:val="000000"/>
          <w:highlight w:val="none"/>
        </w:rPr>
        <w:t xml:space="preserve">时间</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投标人上传电子投标文件的时间不得迟于招标公告中规定的投标截止时间。</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投标人应充分考虑到网络环境、网络带宽等风险因素，如因投标人自身原因造成的电子投标文件上传不成功的按照本招标文件第二章第25.1.2条规定做无效投标处理。</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17.2</w:t>
      </w:r>
      <w:r>
        <w:rPr>
          <w:rFonts w:hint="eastAsia" w:ascii="宋体" w:hAnsi="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34" w:name="_Toc513029227"/>
      <w:r>
        <w:rPr>
          <w:highlight w:val="none"/>
        </w:rPr>
      </w:r>
      <w:bookmarkStart w:id="135" w:name="_Toc20823299"/>
      <w:r>
        <w:rPr>
          <w:highlight w:val="none"/>
        </w:rPr>
      </w:r>
      <w:bookmarkStart w:id="136" w:name="_Toc16938543"/>
      <w:r>
        <w:rPr>
          <w:rFonts w:hint="eastAsia"/>
          <w:b w:val="0"/>
          <w:bCs w:val="0"/>
          <w:color w:val="000000"/>
          <w:highlight w:val="none"/>
        </w:rPr>
        <w:t xml:space="preserve">1</w:t>
      </w:r>
      <w:r>
        <w:rPr>
          <w:b w:val="0"/>
          <w:bCs w:val="0"/>
          <w:color w:val="000000"/>
          <w:highlight w:val="none"/>
        </w:rPr>
        <w:t xml:space="preserve">8</w:t>
      </w:r>
      <w:r>
        <w:rPr>
          <w:rFonts w:hint="eastAsia"/>
          <w:b w:val="0"/>
          <w:bCs w:val="0"/>
          <w:color w:val="000000"/>
          <w:highlight w:val="none"/>
        </w:rPr>
        <w:t xml:space="preserve">、投标文件</w:t>
      </w:r>
      <w:bookmarkEnd w:id="134"/>
      <w:r>
        <w:rPr>
          <w:highlight w:val="none"/>
        </w:rPr>
      </w:r>
      <w:bookmarkEnd w:id="135"/>
      <w:r>
        <w:rPr>
          <w:highlight w:val="none"/>
        </w:rPr>
      </w:r>
      <w:bookmarkEnd w:id="136"/>
      <w:r>
        <w:rPr>
          <w:rFonts w:hint="eastAsia"/>
          <w:b w:val="0"/>
          <w:bCs w:val="0"/>
          <w:color w:val="000000"/>
          <w:highlight w:val="none"/>
        </w:rPr>
        <w:t xml:space="preserve">的拒收</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.1</w:t>
      </w:r>
      <w:r>
        <w:rPr>
          <w:rFonts w:hint="eastAsia" w:ascii="宋体" w:hAnsi="宋体"/>
          <w:bCs/>
          <w:color w:val="000000"/>
          <w:sz w:val="24"/>
          <w:highlight w:val="none"/>
        </w:rPr>
        <w:t xml:space="preserve">采购中心拒绝接收在其规定的投标截止时间后上传的任何投标文件。</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37" w:name="_Toc513029228"/>
      <w:r>
        <w:rPr>
          <w:highlight w:val="none"/>
        </w:rPr>
      </w:r>
      <w:bookmarkStart w:id="138" w:name="_Toc16938544"/>
      <w:r>
        <w:rPr>
          <w:highlight w:val="none"/>
        </w:rPr>
      </w:r>
      <w:bookmarkStart w:id="139" w:name="_Toc20823300"/>
      <w:r>
        <w:rPr>
          <w:b w:val="0"/>
          <w:bCs w:val="0"/>
          <w:color w:val="000000"/>
          <w:highlight w:val="none"/>
        </w:rPr>
        <w:t xml:space="preserve">19</w:t>
      </w:r>
      <w:r>
        <w:rPr>
          <w:rFonts w:hint="eastAsia"/>
          <w:b w:val="0"/>
          <w:bCs w:val="0"/>
          <w:color w:val="000000"/>
          <w:highlight w:val="none"/>
        </w:rPr>
        <w:t xml:space="preserve">、投标文件的撤回和修改</w:t>
      </w:r>
      <w:bookmarkEnd w:id="137"/>
      <w:r>
        <w:rPr>
          <w:highlight w:val="none"/>
        </w:rPr>
      </w:r>
      <w:bookmarkEnd w:id="138"/>
      <w:r>
        <w:rPr>
          <w:highlight w:val="none"/>
        </w:rPr>
      </w:r>
      <w:bookmarkEnd w:id="139"/>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19.1 投标文件的撤回</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.1.1 电子投标文件的撤回</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highlight w:val="none"/>
        </w:rPr>
      </w:r>
      <w:r/>
    </w:p>
    <w:p>
      <w:pPr>
        <w:pStyle w:val="95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19.2 投标文件的修改</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19.2.1投标人可在投标截止时间前，对其电子投标文件进行修改，具体操作方法见《操作手册》。</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19.2.2</w:t>
      </w:r>
      <w:r>
        <w:rPr>
          <w:rFonts w:hint="eastAsia" w:ascii="宋体" w:hAnsi="宋体"/>
          <w:bCs/>
          <w:color w:val="000000"/>
          <w:sz w:val="24"/>
          <w:highlight w:val="none"/>
        </w:rPr>
        <w:t xml:space="preserve"> 在投标截止时间之后，投标人不得对其电子投标文件作任何修改。</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19.3</w:t>
      </w:r>
      <w:r>
        <w:rPr>
          <w:rFonts w:hint="eastAsia" w:ascii="宋体" w:hAnsi="宋体"/>
          <w:bCs/>
          <w:color w:val="000000"/>
          <w:sz w:val="24"/>
          <w:highlight w:val="none"/>
        </w:rPr>
        <w:t xml:space="preserve"> 在投标截止时间至招标文件中规定的投标有效期满之间的这段时间内，投标人不得撤回其投标。</w:t>
      </w:r>
      <w:r>
        <w:rPr>
          <w:highlight w:val="none"/>
        </w:rPr>
      </w:r>
      <w:r/>
    </w:p>
    <w:p>
      <w:pPr>
        <w:pStyle w:val="961"/>
        <w:ind w:firstLine="482"/>
        <w:spacing w:before="145" w:after="145" w:line="400" w:lineRule="exact"/>
        <w:rPr>
          <w:rFonts w:hint="eastAsia"/>
          <w:color w:val="000000"/>
          <w:highlight w:val="none"/>
        </w:rPr>
      </w:pPr>
      <w:r>
        <w:rPr>
          <w:highlight w:val="none"/>
        </w:rPr>
      </w:r>
      <w:bookmarkStart w:id="140" w:name="_Toc513029229"/>
      <w:r>
        <w:rPr>
          <w:highlight w:val="none"/>
        </w:rPr>
      </w:r>
      <w:bookmarkStart w:id="141" w:name="_Toc120614218"/>
      <w:r>
        <w:rPr>
          <w:highlight w:val="none"/>
        </w:rPr>
      </w:r>
      <w:bookmarkStart w:id="142" w:name="_Toc16938545"/>
      <w:r>
        <w:rPr>
          <w:highlight w:val="none"/>
        </w:rPr>
      </w:r>
      <w:bookmarkStart w:id="143" w:name="_Toc20823301"/>
      <w:r>
        <w:rPr>
          <w:rFonts w:hint="eastAsia"/>
          <w:color w:val="000000"/>
          <w:highlight w:val="none"/>
        </w:rPr>
        <w:t xml:space="preserve">五、开标与评标</w:t>
      </w:r>
      <w:bookmarkEnd w:id="140"/>
      <w:r>
        <w:rPr>
          <w:highlight w:val="none"/>
        </w:rPr>
      </w:r>
      <w:bookmarkEnd w:id="141"/>
      <w:r>
        <w:rPr>
          <w:highlight w:val="none"/>
        </w:rPr>
      </w:r>
      <w:bookmarkEnd w:id="142"/>
      <w:r>
        <w:rPr>
          <w:highlight w:val="none"/>
        </w:rPr>
      </w:r>
      <w:bookmarkEnd w:id="143"/>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44" w:name="_Toc513029230"/>
      <w:r>
        <w:rPr>
          <w:highlight w:val="none"/>
        </w:rPr>
      </w:r>
      <w:bookmarkStart w:id="145" w:name="_Toc20823302"/>
      <w:r>
        <w:rPr>
          <w:highlight w:val="none"/>
        </w:rPr>
      </w:r>
      <w:bookmarkStart w:id="146" w:name="_Toc16938546"/>
      <w:r>
        <w:rPr>
          <w:rFonts w:hint="eastAsia"/>
          <w:b w:val="0"/>
          <w:bCs w:val="0"/>
          <w:color w:val="000000"/>
          <w:highlight w:val="none"/>
        </w:rPr>
        <w:t xml:space="preserve">2</w:t>
      </w:r>
      <w:r>
        <w:rPr>
          <w:b w:val="0"/>
          <w:bCs w:val="0"/>
          <w:color w:val="000000"/>
          <w:highlight w:val="none"/>
        </w:rPr>
        <w:t xml:space="preserve">0</w:t>
      </w:r>
      <w:r>
        <w:rPr>
          <w:rFonts w:hint="eastAsia"/>
          <w:b w:val="0"/>
          <w:bCs w:val="0"/>
          <w:color w:val="000000"/>
          <w:highlight w:val="none"/>
        </w:rPr>
        <w:t xml:space="preserve">、开标</w:t>
      </w:r>
      <w:bookmarkEnd w:id="144"/>
      <w:r>
        <w:rPr>
          <w:highlight w:val="none"/>
        </w:rPr>
      </w:r>
      <w:bookmarkEnd w:id="145"/>
      <w:r>
        <w:rPr>
          <w:highlight w:val="none"/>
        </w:rPr>
      </w:r>
      <w:bookmarkEnd w:id="146"/>
      <w:r>
        <w:rPr>
          <w:highlight w:val="none"/>
        </w:rPr>
      </w:r>
      <w:r/>
    </w:p>
    <w:p>
      <w:pPr>
        <w:pStyle w:val="958"/>
        <w:ind w:firstLine="480"/>
        <w:spacing w:line="400" w:lineRule="exact"/>
        <w:rPr>
          <w:rFonts w:hint="eastAsia"/>
          <w:color w:val="000000"/>
          <w:highlight w:val="none"/>
        </w:rPr>
      </w:pPr>
      <w:r>
        <w:rPr>
          <w:rFonts w:hint="eastAsia" w:ascii="宋体" w:hAnsi="宋体"/>
          <w:color w:val="000000"/>
          <w:sz w:val="24"/>
          <w:highlight w:val="none"/>
        </w:rPr>
        <w:t xml:space="preserve">20.1</w:t>
      </w:r>
      <w:r>
        <w:rPr>
          <w:rFonts w:hint="eastAsia" w:ascii="宋体" w:hAnsi="宋体"/>
          <w:bCs/>
          <w:color w:val="000000"/>
          <w:sz w:val="24"/>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20.2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highlight w:val="none"/>
        </w:rPr>
        <w:t xml:space="preserve">20.3投标人在开标过程中涉及到的投标文件解密、开标结果确认等工作，应按照《操作手册》规定执行。</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20.4投标人如果对开标过程和开标记录有疑义，应当根据《操作手册》规定提出，如苏采云系统中《开标记录表》宣布后5分钟内未提出的，视同认可开标结果。</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47" w:name="_Toc513029231"/>
      <w:r>
        <w:rPr>
          <w:highlight w:val="none"/>
        </w:rPr>
      </w:r>
      <w:bookmarkStart w:id="148" w:name="_Toc16938547"/>
      <w:r>
        <w:rPr>
          <w:highlight w:val="none"/>
        </w:rPr>
      </w:r>
      <w:bookmarkStart w:id="149" w:name="_Toc20823303"/>
      <w:r>
        <w:rPr>
          <w:rFonts w:hint="eastAsia"/>
          <w:b w:val="0"/>
          <w:bCs w:val="0"/>
          <w:color w:val="000000"/>
          <w:highlight w:val="none"/>
        </w:rPr>
        <w:t xml:space="preserve">2</w:t>
      </w:r>
      <w:r>
        <w:rPr>
          <w:b w:val="0"/>
          <w:bCs w:val="0"/>
          <w:color w:val="000000"/>
          <w:highlight w:val="none"/>
        </w:rPr>
        <w:t xml:space="preserve">1</w:t>
      </w:r>
      <w:r>
        <w:rPr>
          <w:rFonts w:hint="eastAsia"/>
          <w:b w:val="0"/>
          <w:bCs w:val="0"/>
          <w:color w:val="000000"/>
          <w:highlight w:val="none"/>
        </w:rPr>
        <w:t xml:space="preserve">、评标委员会</w:t>
      </w:r>
      <w:r>
        <w:rPr>
          <w:highlight w:val="none"/>
        </w:rPr>
      </w:r>
      <w:r/>
    </w:p>
    <w:p>
      <w:pPr>
        <w:pStyle w:val="958"/>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开标后，采购中心将立即组织评标委员会进行评标。</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由采购人代表和有关技术、经济等方面的专家组成，且人员构成符合政府采购有关规定。</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独立工作，负责评审所有投标文件并确定中标侯选人。</w:t>
      </w:r>
      <w:r>
        <w:rPr>
          <w:highlight w:val="none"/>
        </w:rPr>
      </w:r>
      <w:r/>
    </w:p>
    <w:p>
      <w:pPr>
        <w:pStyle w:val="962"/>
        <w:ind w:firstLine="420"/>
        <w:spacing w:before="0" w:after="0" w:line="400" w:lineRule="exact"/>
        <w:rPr>
          <w:rFonts w:hint="eastAsia" w:ascii="黑体"/>
          <w:b w:val="0"/>
          <w:bCs w:val="0"/>
          <w:color w:val="000000"/>
          <w:highlight w:val="none"/>
        </w:rPr>
      </w:pPr>
      <w:r>
        <w:rPr>
          <w:rFonts w:hint="eastAsia" w:ascii="黑体"/>
          <w:b w:val="0"/>
          <w:bCs w:val="0"/>
          <w:color w:val="000000"/>
          <w:highlight w:val="none"/>
        </w:rPr>
        <w:t xml:space="preserve">2</w:t>
      </w:r>
      <w:r>
        <w:rPr>
          <w:rFonts w:ascii="黑体"/>
          <w:b w:val="0"/>
          <w:bCs w:val="0"/>
          <w:color w:val="000000"/>
          <w:highlight w:val="none"/>
        </w:rPr>
        <w:t xml:space="preserve">2</w:t>
      </w:r>
      <w:r>
        <w:rPr>
          <w:rFonts w:hint="eastAsia" w:ascii="黑体"/>
          <w:b w:val="0"/>
          <w:bCs w:val="0"/>
          <w:color w:val="000000"/>
          <w:highlight w:val="none"/>
        </w:rPr>
        <w:t xml:space="preserve">、评标过程的保密与公正</w:t>
      </w:r>
      <w:r>
        <w:rPr>
          <w:highlight w:val="none"/>
        </w:rPr>
      </w:r>
      <w:r/>
    </w:p>
    <w:p>
      <w:pPr>
        <w:pStyle w:val="958"/>
        <w:ind w:firstLine="480"/>
        <w:spacing w:line="400" w:lineRule="exact"/>
        <w:rPr>
          <w:rFonts w:hint="eastAsia" w:ascii="宋体" w:hAnsi="宋体"/>
          <w:bCs/>
          <w:color w:val="000000"/>
          <w:sz w:val="24"/>
          <w:highlight w:val="none"/>
        </w:rPr>
      </w:pPr>
      <w:r>
        <w:rPr>
          <w:highlight w:val="none"/>
        </w:rPr>
      </w:r>
      <w:bookmarkEnd w:id="147"/>
      <w:r>
        <w:rPr>
          <w:highlight w:val="none"/>
        </w:rPr>
      </w:r>
      <w:bookmarkEnd w:id="148"/>
      <w:r>
        <w:rPr>
          <w:highlight w:val="none"/>
        </w:rPr>
      </w:r>
      <w:bookmarkEnd w:id="149"/>
      <w:r>
        <w:rPr>
          <w:rFonts w:hint="eastAsia" w:ascii="宋体" w:hAnsi="宋体"/>
          <w:color w:val="000000"/>
          <w:sz w:val="24"/>
          <w:highlight w:val="none"/>
        </w:rPr>
        <w:t xml:space="preserve">22.1</w:t>
      </w:r>
      <w:r>
        <w:rPr>
          <w:rFonts w:hint="eastAsia" w:ascii="宋体" w:hAnsi="宋体"/>
          <w:bCs/>
          <w:color w:val="000000"/>
          <w:sz w:val="24"/>
          <w:highlight w:val="none"/>
        </w:rPr>
        <w:t xml:space="preserve">凡是与审查、澄清、评价和比较投标的有关资料以及授标建议等，采购人、评委、采购中心均不得向投标人或与评标无关的其他人员透露。</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highlight w:val="none"/>
        </w:rPr>
        <w:t xml:space="preserve">22.2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22.4 采用综合评分法的项目，未中标的投标人可于中标结果公告期限届满之日起通过苏采云系统查看自己的评审得分及排序情况。</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50" w:name="_Toc16938548"/>
      <w:r>
        <w:rPr>
          <w:highlight w:val="none"/>
        </w:rPr>
      </w:r>
      <w:bookmarkStart w:id="151" w:name="_Toc513029232"/>
      <w:r>
        <w:rPr>
          <w:highlight w:val="none"/>
        </w:rPr>
      </w:r>
      <w:bookmarkStart w:id="152" w:name="_Toc20823304"/>
      <w:r>
        <w:rPr>
          <w:rFonts w:hint="eastAsia"/>
          <w:b w:val="0"/>
          <w:bCs w:val="0"/>
          <w:color w:val="000000"/>
          <w:highlight w:val="none"/>
        </w:rPr>
        <w:t xml:space="preserve">2</w:t>
      </w:r>
      <w:r>
        <w:rPr>
          <w:b w:val="0"/>
          <w:bCs w:val="0"/>
          <w:color w:val="000000"/>
          <w:highlight w:val="none"/>
        </w:rPr>
        <w:t xml:space="preserve">3</w:t>
      </w:r>
      <w:r>
        <w:rPr>
          <w:rFonts w:hint="eastAsia"/>
          <w:b w:val="0"/>
          <w:bCs w:val="0"/>
          <w:color w:val="000000"/>
          <w:highlight w:val="none"/>
        </w:rPr>
        <w:t xml:space="preserve">、投标文件的澄清</w:t>
      </w:r>
      <w:bookmarkEnd w:id="150"/>
      <w:r>
        <w:rPr>
          <w:highlight w:val="none"/>
        </w:rPr>
      </w:r>
      <w:bookmarkEnd w:id="151"/>
      <w:r>
        <w:rPr>
          <w:highlight w:val="none"/>
        </w:rPr>
      </w:r>
      <w:bookmarkEnd w:id="152"/>
      <w:r>
        <w:rPr>
          <w:highlight w:val="none"/>
        </w:rPr>
      </w:r>
      <w:r/>
    </w:p>
    <w:p>
      <w:pPr>
        <w:pStyle w:val="958"/>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23.1</w:t>
      </w:r>
      <w:r>
        <w:rPr>
          <w:rFonts w:hint="eastAsia" w:ascii="宋体" w:hAnsi="宋体"/>
          <w:color w:val="000000"/>
          <w:sz w:val="24"/>
          <w:szCs w:val="24"/>
          <w:highlight w:val="none"/>
        </w:rPr>
        <w:t xml:space="preserve">评标期间，</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23.2需要供应商进行澄清、说明和补正的，</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23.3 接到</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澄清、说明和补正要求的投标人如未按规定做出澄清、说明和补正，其风险由投标人自行承担。</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53" w:name="_Toc513029233"/>
      <w:r>
        <w:rPr>
          <w:highlight w:val="none"/>
        </w:rPr>
      </w:r>
      <w:bookmarkStart w:id="154" w:name="_Toc16938549"/>
      <w:r>
        <w:rPr>
          <w:highlight w:val="none"/>
        </w:rPr>
      </w:r>
      <w:bookmarkStart w:id="155" w:name="_Toc20823305"/>
      <w:r>
        <w:rPr>
          <w:rFonts w:hint="eastAsia"/>
          <w:b w:val="0"/>
          <w:bCs w:val="0"/>
          <w:color w:val="000000"/>
          <w:highlight w:val="none"/>
        </w:rPr>
        <w:t xml:space="preserve">2</w:t>
      </w:r>
      <w:r>
        <w:rPr>
          <w:b w:val="0"/>
          <w:bCs w:val="0"/>
          <w:color w:val="000000"/>
          <w:highlight w:val="none"/>
        </w:rPr>
        <w:t xml:space="preserve">4</w:t>
      </w:r>
      <w:r>
        <w:rPr>
          <w:rFonts w:hint="eastAsia"/>
          <w:b w:val="0"/>
          <w:bCs w:val="0"/>
          <w:color w:val="000000"/>
          <w:highlight w:val="none"/>
        </w:rPr>
        <w:t xml:space="preserve">、对投标文件的初审</w:t>
      </w:r>
      <w:bookmarkEnd w:id="153"/>
      <w:r>
        <w:rPr>
          <w:highlight w:val="none"/>
        </w:rPr>
      </w:r>
      <w:bookmarkEnd w:id="154"/>
      <w:r>
        <w:rPr>
          <w:highlight w:val="none"/>
        </w:rPr>
      </w:r>
      <w:bookmarkEnd w:id="155"/>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24.1</w:t>
      </w:r>
      <w:r>
        <w:rPr>
          <w:rFonts w:hint="eastAsia" w:ascii="宋体" w:hAnsi="宋体"/>
          <w:bCs/>
          <w:color w:val="000000"/>
          <w:sz w:val="24"/>
          <w:highlight w:val="none"/>
        </w:rPr>
        <w:t xml:space="preserve">投标文件初审分为资格审查和符合性审查。</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24.1.1 资格审查：依据法律法规和招标文件的规定，由采购人对投标文件中的资格证明文件进行审查。资格审查的结论，采购人以书面形式向</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进行反馈。</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24.1.2 符合性审查：依据招标文件的规定，由</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从投标文件的有效性、完整性和对招标文件的响应程度进行审查，以确定是否对招标文件的实质性要求作出响应。</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24.2在详细评标之前，</w:t>
      </w:r>
      <w:r>
        <w:rPr>
          <w:rFonts w:hint="eastAsia" w:ascii="宋体" w:hAnsi="宋体"/>
          <w:color w:val="000000"/>
          <w:sz w:val="24"/>
          <w:highlight w:val="none"/>
          <w:lang w:eastAsia="zh-CN"/>
        </w:rPr>
        <w:t xml:space="preserve">评标委员会</w:t>
      </w:r>
      <w:r>
        <w:rPr>
          <w:rFonts w:hint="eastAsia" w:ascii="宋体" w:hAnsi="宋体"/>
          <w:color w:val="000000"/>
          <w:sz w:val="24"/>
          <w:highlight w:val="none"/>
        </w:rPr>
        <w:t xml:space="preserve">将首先审查每份投标文件是否实质性响应了招标文件的要求。实质性响应的投标应该是与招标文件要求的全部条款、条件和规格相符，没有重大偏离或保留的投标。</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highlight w:val="none"/>
          <w:lang w:eastAsia="zh-CN"/>
        </w:rPr>
        <w:t xml:space="preserve">评标委员会</w:t>
      </w:r>
      <w:r>
        <w:rPr>
          <w:rFonts w:hint="eastAsia" w:ascii="宋体" w:hAnsi="宋体"/>
          <w:color w:val="000000"/>
          <w:sz w:val="24"/>
          <w:highlight w:val="none"/>
        </w:rPr>
        <w:t xml:space="preserve">以少数服从多数的原则作出结论。评委决定投标文件的响应性只根据投标文件本身的内容，而不寻求外部的证据。</w:t>
      </w:r>
      <w:r>
        <w:rPr>
          <w:highlight w:val="none"/>
        </w:rPr>
      </w:r>
      <w:r/>
    </w:p>
    <w:p>
      <w:pPr>
        <w:pStyle w:val="95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24.3如果投标文件实质上没有响应招标文件的要求，</w:t>
      </w:r>
      <w:r>
        <w:rPr>
          <w:rFonts w:hint="eastAsia" w:ascii="宋体" w:hAnsi="宋体"/>
          <w:color w:val="000000"/>
          <w:sz w:val="24"/>
          <w:highlight w:val="none"/>
          <w:lang w:eastAsia="zh-CN"/>
        </w:rPr>
        <w:t xml:space="preserve">评标委员会</w:t>
      </w:r>
      <w:r>
        <w:rPr>
          <w:rFonts w:hint="eastAsia" w:ascii="宋体" w:hAnsi="宋体"/>
          <w:color w:val="000000"/>
          <w:sz w:val="24"/>
          <w:highlight w:val="none"/>
        </w:rPr>
        <w:t xml:space="preserve">将予以拒绝，投标人不得通过修改或撤销不合要求的偏离或保留而使其投标成为实质性响应的投标。</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4</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将对确定为实质性响应的投标进行进一步审核，确定其是否有计算上或累加上的算术错误，修正错误的原则如下：</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highlight w:val="none"/>
        </w:rPr>
      </w:r>
      <w:r/>
    </w:p>
    <w:p>
      <w:pPr>
        <w:pStyle w:val="958"/>
        <w:ind w:firstLine="420"/>
        <w:spacing w:line="400" w:lineRule="exact"/>
        <w:rPr>
          <w:rFonts w:ascii="宋体" w:hAnsi="宋体"/>
          <w:color w:val="000000"/>
          <w:sz w:val="24"/>
          <w:highlight w:val="none"/>
        </w:rPr>
      </w:pPr>
      <w:r>
        <w:rPr>
          <w:highlight w:val="none"/>
        </w:rPr>
      </w:r>
      <w:bookmarkStart w:id="156" w:name="_Toc16938550"/>
      <w:r>
        <w:rPr>
          <w:highlight w:val="none"/>
        </w:rPr>
      </w:r>
      <w:bookmarkStart w:id="157" w:name="_Toc513029234"/>
      <w:r>
        <w:rPr>
          <w:highlight w:val="none"/>
        </w:rPr>
      </w:r>
      <w:bookmarkStart w:id="158" w:name="_Toc20823306"/>
      <w:r>
        <w:rPr>
          <w:rFonts w:hint="eastAsia" w:ascii="宋体" w:hAnsi="宋体"/>
          <w:color w:val="000000"/>
          <w:sz w:val="24"/>
          <w:highlight w:val="none"/>
        </w:rPr>
        <w:t xml:space="preserve">24.6投标人在开、评标全过程中应保持通讯畅通，及时登录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并安排专人与采购中心及评标委员会联系。</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 异常低价投标审查</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评标过程中出现下列情形之一的，评标委员会应当启动异常低价投标审查程序：</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（1）投标报价低于全部通过符合性审查供应商投标报价平均值50%的，即投标报价&lt;全部通过符合性审查供应商投标报价平均值×50%；</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（2）投标报价低于通过符合性审查的次低报价供应商投标报价50%的，即投标报价&lt;通过符合性审查的次低报价供应商投标报价×50%；</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eastAsia="zh-CN"/>
        </w:rPr>
        <w:t xml:space="preserve">）投标报价低于采购项目最高限价45%的，即投标报价&lt;采购项目最高限价×45%；</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评标</w:t>
      </w:r>
      <w:r>
        <w:rPr>
          <w:rFonts w:hint="eastAsia" w:ascii="宋体" w:hAnsi="宋体" w:eastAsia="宋体" w:cs="Times New Roman"/>
          <w:color w:val="000000"/>
          <w:sz w:val="24"/>
          <w:highlight w:val="none"/>
        </w:rPr>
        <w:t xml:space="preserve">委员会基于专业判断，认为供应商报价过低，有可能影响产品质量或者不能诚信履约的其他情形。</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 </w:t>
      </w:r>
      <w:r>
        <w:rPr>
          <w:rFonts w:hint="eastAsia" w:ascii="宋体" w:hAnsi="宋体" w:eastAsia="宋体" w:cs="Times New Roman"/>
          <w:color w:val="000000"/>
          <w:sz w:val="24"/>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2</w:t>
      </w:r>
      <w:r>
        <w:rPr>
          <w:b w:val="0"/>
          <w:bCs w:val="0"/>
          <w:color w:val="000000"/>
          <w:highlight w:val="none"/>
        </w:rPr>
        <w:t xml:space="preserve">5</w:t>
      </w:r>
      <w:r>
        <w:rPr>
          <w:rFonts w:hint="eastAsia"/>
          <w:b w:val="0"/>
          <w:bCs w:val="0"/>
          <w:color w:val="000000"/>
          <w:highlight w:val="none"/>
        </w:rPr>
        <w:t xml:space="preserve">、</w:t>
      </w:r>
      <w:bookmarkEnd w:id="156"/>
      <w:r>
        <w:rPr>
          <w:highlight w:val="none"/>
        </w:rPr>
      </w:r>
      <w:bookmarkEnd w:id="157"/>
      <w:r>
        <w:rPr>
          <w:highlight w:val="none"/>
        </w:rPr>
      </w:r>
      <w:bookmarkEnd w:id="158"/>
      <w:r>
        <w:rPr>
          <w:rFonts w:hint="eastAsia"/>
          <w:b w:val="0"/>
          <w:bCs w:val="0"/>
          <w:color w:val="000000"/>
          <w:highlight w:val="none"/>
        </w:rPr>
        <w:t xml:space="preserve">无效投标条款和废标条款</w:t>
      </w:r>
      <w:r>
        <w:rPr>
          <w:highlight w:val="none"/>
        </w:rPr>
      </w:r>
      <w:r/>
    </w:p>
    <w:p>
      <w:pPr>
        <w:pStyle w:val="958"/>
        <w:ind w:left="479"/>
        <w:spacing w:line="400" w:lineRule="exact"/>
        <w:rPr>
          <w:rFonts w:hint="eastAsia" w:ascii="宋体" w:hAnsi="宋体"/>
          <w:bCs/>
          <w:color w:val="000000"/>
          <w:sz w:val="24"/>
          <w:highlight w:val="none"/>
        </w:rPr>
      </w:pPr>
      <w:r>
        <w:rPr>
          <w:highlight w:val="none"/>
        </w:rPr>
      </w:r>
      <w:bookmarkStart w:id="159" w:name="_Toc16938551"/>
      <w:r>
        <w:rPr>
          <w:highlight w:val="none"/>
        </w:rPr>
      </w:r>
      <w:bookmarkStart w:id="160" w:name="_Toc513029235"/>
      <w:r>
        <w:rPr>
          <w:highlight w:val="none"/>
        </w:rPr>
      </w:r>
      <w:bookmarkStart w:id="161" w:name="_Toc20823307"/>
      <w:r>
        <w:rPr>
          <w:rFonts w:hint="eastAsia" w:ascii="宋体" w:hAnsi="宋体"/>
          <w:bCs/>
          <w:color w:val="000000"/>
          <w:sz w:val="24"/>
          <w:highlight w:val="none"/>
        </w:rPr>
        <w:t xml:space="preserve">25.1无效投标条款</w:t>
      </w:r>
      <w:r>
        <w:rPr>
          <w:highlight w:val="none"/>
        </w:rPr>
      </w:r>
      <w:r/>
    </w:p>
    <w:p>
      <w:pPr>
        <w:pStyle w:val="958"/>
        <w:ind w:firstLine="480"/>
        <w:spacing w:line="4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25.</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25.1.2 投标人未按照招标文件要求上传电子投标文件的。</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25.1.3 投标人同一</w:t>
      </w:r>
      <w:r>
        <w:rPr>
          <w:rFonts w:ascii="宋体" w:hAnsi="宋体"/>
          <w:bCs/>
          <w:color w:val="000000"/>
          <w:sz w:val="24"/>
          <w:highlight w:val="none"/>
        </w:rPr>
        <w:t xml:space="preserve">采购包</w:t>
      </w:r>
      <w:r>
        <w:rPr>
          <w:rFonts w:hint="eastAsia" w:ascii="宋体" w:hAnsi="宋体"/>
          <w:bCs/>
          <w:color w:val="000000"/>
          <w:sz w:val="24"/>
          <w:highlight w:val="none"/>
        </w:rPr>
        <w:t xml:space="preserve">提交两个（含两个）以上不同的投标报价的。</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25.1.4投标人不具备招标文件中规定资格要求的。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25.1.5投标人的报价超过了采购预算或最高限价的。</w:t>
      </w:r>
      <w:r>
        <w:rPr>
          <w:highlight w:val="none"/>
        </w:rPr>
      </w:r>
      <w:r/>
    </w:p>
    <w:p>
      <w:pPr>
        <w:pStyle w:val="958"/>
        <w:ind w:firstLine="48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25.1.6未通过符合性审查的。</w:t>
      </w:r>
      <w:r>
        <w:rPr>
          <w:highlight w:val="none"/>
        </w:rPr>
      </w:r>
      <w:r/>
    </w:p>
    <w:p>
      <w:pPr>
        <w:pStyle w:val="958"/>
        <w:ind w:firstLine="36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25.1.7不符合招标文件中规定的实质性要求的</w:t>
      </w:r>
      <w:r>
        <w:rPr>
          <w:rFonts w:hint="eastAsia" w:ascii="宋体" w:hAnsi="宋体"/>
          <w:b/>
          <w:bCs/>
          <w:color w:val="000000"/>
          <w:sz w:val="24"/>
          <w:highlight w:val="none"/>
        </w:rPr>
        <w:t xml:space="preserve">（本招标文件中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25.1.9 投标文件含有采购人不能接受的附加条件的。</w:t>
      </w:r>
      <w:r>
        <w:rPr>
          <w:highlight w:val="none"/>
        </w:rPr>
      </w:r>
      <w:r/>
    </w:p>
    <w:p>
      <w:pPr>
        <w:pStyle w:val="95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25.1.10评标委员会按照本招标文件规定对投标人进行异常低价投标审查后，认为投标人不能证明其报价合理性的。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highlight w:val="none"/>
        </w:rPr>
      </w:r>
      <w:r/>
    </w:p>
    <w:p>
      <w:pPr>
        <w:pStyle w:val="958"/>
        <w:ind w:firstLine="480"/>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25.1.12 投标人所提供的服务不符合招标文件中所列国家强制性标准的。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其他法律、法规及本招标文件规定的属无效投标的情形。</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25.2废标条款</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25.2.1符合专业条件的供应商或者对招标文件作实质响应的供应商不足三家的。25.2.2出现影响采购公正的违法、违规行为的。</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25.2.3因重大变故，采购任务取消的。</w:t>
      </w:r>
      <w:r>
        <w:rPr>
          <w:highlight w:val="none"/>
        </w:rPr>
      </w:r>
      <w:r/>
    </w:p>
    <w:p>
      <w:pPr>
        <w:pStyle w:val="958"/>
        <w:ind w:left="479"/>
        <w:spacing w:line="400" w:lineRule="exact"/>
        <w:rPr>
          <w:rFonts w:ascii="宋体" w:hAnsi="宋体"/>
          <w:bCs/>
          <w:color w:val="000000"/>
          <w:sz w:val="24"/>
          <w:highlight w:val="none"/>
        </w:rPr>
      </w:pPr>
      <w:r>
        <w:rPr>
          <w:rFonts w:hint="eastAsia" w:ascii="宋体" w:hAnsi="宋体"/>
          <w:bCs/>
          <w:color w:val="000000"/>
          <w:sz w:val="24"/>
          <w:highlight w:val="none"/>
        </w:rPr>
        <w:t xml:space="preserve">25.2.4评标委员会认定招标文件存在歧义、重大缺陷导致评审工作无法进行。</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 投标截止时间结束后参加投标的供应商不足三家的处理：</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25.3.1如出现投标截止时间结束后参加投标的供应商或者在评标期间对招标文件做出实质响应的供应商不足三家情况，按政府采购相关规定执行。</w:t>
      </w:r>
      <w:r>
        <w:rPr>
          <w:highlight w:val="none"/>
        </w:rPr>
      </w:r>
      <w:r/>
    </w:p>
    <w:p>
      <w:pPr>
        <w:pStyle w:val="961"/>
        <w:ind w:firstLine="482"/>
        <w:spacing w:before="145" w:after="145" w:line="400" w:lineRule="exact"/>
        <w:rPr>
          <w:rFonts w:hint="eastAsia"/>
          <w:color w:val="000000"/>
          <w:highlight w:val="none"/>
        </w:rPr>
      </w:pPr>
      <w:r>
        <w:rPr>
          <w:highlight w:val="none"/>
        </w:rPr>
      </w:r>
      <w:bookmarkStart w:id="162" w:name="_Toc120614219"/>
      <w:r>
        <w:rPr>
          <w:rFonts w:hint="eastAsia"/>
          <w:color w:val="000000"/>
          <w:highlight w:val="none"/>
        </w:rPr>
        <w:t xml:space="preserve">六、</w:t>
      </w:r>
      <w:bookmarkEnd w:id="159"/>
      <w:r>
        <w:rPr>
          <w:highlight w:val="none"/>
        </w:rPr>
      </w:r>
      <w:bookmarkEnd w:id="160"/>
      <w:r>
        <w:rPr>
          <w:highlight w:val="none"/>
        </w:rPr>
      </w:r>
      <w:bookmarkEnd w:id="161"/>
      <w:r>
        <w:rPr>
          <w:rFonts w:hint="eastAsia"/>
          <w:color w:val="000000"/>
          <w:highlight w:val="none"/>
        </w:rPr>
        <w:t xml:space="preserve">定标</w:t>
      </w:r>
      <w:bookmarkEnd w:id="162"/>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highlight w:val="none"/>
        </w:rPr>
      </w:r>
      <w:bookmarkStart w:id="163" w:name="_Toc513029238"/>
      <w:r>
        <w:rPr>
          <w:highlight w:val="none"/>
        </w:rPr>
      </w:r>
      <w:bookmarkStart w:id="164" w:name="_Toc16938554"/>
      <w:r>
        <w:rPr>
          <w:highlight w:val="none"/>
        </w:rPr>
      </w:r>
      <w:bookmarkStart w:id="165" w:name="_Toc20823310"/>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6</w:t>
      </w:r>
      <w:r>
        <w:rPr>
          <w:rFonts w:hint="eastAsia" w:ascii="黑体" w:hAnsi="宋体" w:cs="Times New Roman"/>
          <w:b w:val="0"/>
          <w:color w:val="000000"/>
          <w:sz w:val="30"/>
          <w:szCs w:val="30"/>
          <w:highlight w:val="none"/>
        </w:rPr>
        <w:t xml:space="preserve">、</w:t>
      </w:r>
      <w:bookmarkEnd w:id="163"/>
      <w:r>
        <w:rPr>
          <w:rFonts w:hint="eastAsia" w:ascii="黑体" w:hAnsi="宋体" w:cs="Times New Roman"/>
          <w:b w:val="0"/>
          <w:color w:val="000000"/>
          <w:sz w:val="30"/>
          <w:szCs w:val="30"/>
          <w:highlight w:val="none"/>
        </w:rPr>
        <w:t xml:space="preserve">确定</w:t>
      </w:r>
      <w:bookmarkEnd w:id="164"/>
      <w:r>
        <w:rPr>
          <w:highlight w:val="none"/>
        </w:rPr>
      </w:r>
      <w:bookmarkEnd w:id="165"/>
      <w:r>
        <w:rPr>
          <w:rFonts w:hint="eastAsia" w:ascii="黑体" w:hAnsi="宋体" w:cs="Times New Roman"/>
          <w:b w:val="0"/>
          <w:color w:val="000000"/>
          <w:sz w:val="30"/>
          <w:szCs w:val="30"/>
          <w:highlight w:val="none"/>
        </w:rPr>
        <w:t xml:space="preserve">中标单位</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26.1中标候选人的选取原则和数量见招标文件第五章规定。 </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26.2 采购人应根据</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推荐的中标候选人确定中标供应商。</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26.3 </w:t>
      </w:r>
      <w:r>
        <w:rPr>
          <w:rFonts w:hint="eastAsia" w:ascii="宋体" w:hAnsi="宋体"/>
          <w:color w:val="000000"/>
          <w:sz w:val="24"/>
          <w:szCs w:val="24"/>
          <w:highlight w:val="none"/>
        </w:rPr>
        <w:t xml:space="preserve">采购中心将在“江苏政府采购网”发布中标公告，公告期限为1个工作日。</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  若有充分证据证明，中标供应商出现下列情况之一的，一经查实，将被取消中标资格：</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26.4.1提供虚假材料谋取中标的。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26.4.2向采购人、采购中心行贿或者提供其他不正当利益的。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26.4.3属于本文件规定的无效条件，但在评标过程中又未被</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发现的。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26.4.4与采购人或者其他供应商恶意串通的。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26.4.5采取不正当手段诋毁、排挤其他供应商的。</w:t>
      </w:r>
      <w:r>
        <w:rPr>
          <w:highlight w:val="none"/>
        </w:rPr>
      </w:r>
      <w:r/>
    </w:p>
    <w:p>
      <w:pPr>
        <w:pStyle w:val="958"/>
        <w:ind w:firstLine="480"/>
        <w:spacing w:line="400" w:lineRule="exact"/>
        <w:rPr>
          <w:rFonts w:ascii="宋体" w:hAnsi="宋体"/>
          <w:color w:val="000000"/>
          <w:sz w:val="24"/>
          <w:szCs w:val="24"/>
          <w:highlight w:val="none"/>
        </w:rPr>
      </w:pPr>
      <w:r>
        <w:rPr>
          <w:highlight w:val="none"/>
        </w:rPr>
      </w:r>
      <w:bookmarkStart w:id="166"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.5.1不同投标人的投标文件由同一单位或者个人编制。</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.5.2不同投标人委托同一单位或者个人办理投标事宜。</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.5.3 不同投标人的投标文件载明的项目管理成员或者联系人员为同一人。</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.5.4不同投标人的投标文件异常一致或者投标报价呈规律性差异。</w:t>
      </w:r>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7</w:t>
      </w:r>
      <w:r>
        <w:rPr>
          <w:rFonts w:hint="eastAsia" w:ascii="黑体" w:hAnsi="宋体" w:cs="Times New Roman"/>
          <w:b w:val="0"/>
          <w:color w:val="000000"/>
          <w:sz w:val="30"/>
          <w:szCs w:val="30"/>
          <w:highlight w:val="none"/>
        </w:rPr>
        <w:t xml:space="preserve">、质疑处理</w:t>
      </w:r>
      <w:bookmarkEnd w:id="166"/>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.4条款的规定向采购中心或采购人提出质疑。上述应知其权益受到损害之日，是指：</w:t>
      </w:r>
      <w:r>
        <w:rPr>
          <w:highlight w:val="none"/>
        </w:rPr>
      </w:r>
      <w:r/>
    </w:p>
    <w:p>
      <w:pPr>
        <w:pStyle w:val="95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highlight w:val="none"/>
        </w:rPr>
      </w:r>
      <w:r/>
    </w:p>
    <w:p>
      <w:pPr>
        <w:pStyle w:val="95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highlight w:val="none"/>
        </w:rPr>
      </w:r>
      <w:r/>
    </w:p>
    <w:p>
      <w:pPr>
        <w:pStyle w:val="95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highlight w:val="none"/>
        </w:rPr>
      </w:r>
      <w:r/>
    </w:p>
    <w:p>
      <w:pPr>
        <w:pStyle w:val="958"/>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958"/>
        <w:ind w:firstLine="480"/>
        <w:spacing w:line="4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评标方法与</w:t>
      </w:r>
      <w:r>
        <w:rPr>
          <w:rFonts w:ascii="宋体" w:hAnsi="宋体"/>
          <w:color w:val="000000"/>
          <w:sz w:val="24"/>
          <w:szCs w:val="24"/>
          <w:highlight w:val="none"/>
        </w:rPr>
        <w:t xml:space="preserve">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采购中心及采购人只接收以纸质原件形式送达的质疑,建议供应商尽量通过邮寄方式提交质疑（采购人和采购中心不接受无快递运单号的快递）。</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.5 以下情形的质疑不予受理</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27.5.1 内容不符合《政府采购质疑和投诉办法》第十二条规定的质疑。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27.5.2 超出政府采购法定期限的质疑。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27.5.3 以传真、电子邮件等方式递交的非原件形式的质疑。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27.5.4 未参加投标活动的供应商或在投标活动中自身权益未受到损害的供应商所提出的质疑。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27.5.5供应商组成联合体参加投标，联合体中任何一方或多方未按要求签字、盖章、加盖公章的质疑。</w:t>
      </w:r>
      <w:r>
        <w:rPr>
          <w:highlight w:val="none"/>
        </w:rPr>
      </w:r>
      <w:r/>
    </w:p>
    <w:p>
      <w:pPr>
        <w:pStyle w:val="958"/>
        <w:ind w:firstLine="46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8</w:t>
      </w:r>
      <w:r>
        <w:rPr>
          <w:rFonts w:hint="eastAsia" w:ascii="黑体" w:hAnsi="宋体" w:cs="Times New Roman"/>
          <w:b w:val="0"/>
          <w:color w:val="000000"/>
          <w:sz w:val="30"/>
          <w:szCs w:val="30"/>
          <w:highlight w:val="none"/>
        </w:rPr>
        <w:t xml:space="preserve">、中标通知书</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961"/>
        <w:spacing w:before="145" w:after="145" w:line="400" w:lineRule="exact"/>
        <w:rPr>
          <w:rFonts w:hint="eastAsia"/>
          <w:color w:val="000000"/>
          <w:highlight w:val="none"/>
        </w:rPr>
      </w:pPr>
      <w:r>
        <w:rPr>
          <w:highlight w:val="none"/>
        </w:rPr>
      </w:r>
      <w:bookmarkStart w:id="167" w:name="_Toc20823308"/>
      <w:r>
        <w:rPr>
          <w:highlight w:val="none"/>
        </w:rPr>
      </w:r>
      <w:bookmarkStart w:id="168" w:name="_Toc513029236"/>
      <w:r>
        <w:rPr>
          <w:highlight w:val="none"/>
        </w:rPr>
      </w:r>
      <w:bookmarkStart w:id="169" w:name="_Toc120614220"/>
      <w:r>
        <w:rPr>
          <w:highlight w:val="none"/>
        </w:rPr>
      </w:r>
      <w:bookmarkStart w:id="170" w:name="_Toc16938552"/>
      <w:r>
        <w:rPr>
          <w:rFonts w:hint="eastAsia"/>
          <w:color w:val="000000"/>
          <w:highlight w:val="none"/>
        </w:rPr>
        <w:t xml:space="preserve">七、授予合同</w:t>
      </w:r>
      <w:bookmarkEnd w:id="169"/>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highlight w:val="none"/>
        </w:rPr>
      </w:r>
      <w:bookmarkEnd w:id="167"/>
      <w:r>
        <w:rPr>
          <w:highlight w:val="none"/>
        </w:rPr>
      </w:r>
      <w:bookmarkEnd w:id="168"/>
      <w:r>
        <w:rPr>
          <w:highlight w:val="none"/>
        </w:rPr>
      </w:r>
      <w:bookmarkEnd w:id="170"/>
      <w:r>
        <w:rPr>
          <w:highlight w:val="none"/>
        </w:rPr>
      </w:r>
      <w:bookmarkStart w:id="171" w:name="_Toc20823309"/>
      <w:r>
        <w:rPr>
          <w:highlight w:val="none"/>
        </w:rPr>
      </w:r>
      <w:bookmarkStart w:id="172" w:name="_Toc16938553"/>
      <w:r>
        <w:rPr>
          <w:highlight w:val="none"/>
        </w:rPr>
      </w:r>
      <w:bookmarkStart w:id="173" w:name="_Toc513029237"/>
      <w:r>
        <w:rPr>
          <w:rFonts w:ascii="黑体" w:hAnsi="宋体" w:cs="Times New Roman"/>
          <w:b w:val="0"/>
          <w:color w:val="000000"/>
          <w:sz w:val="30"/>
          <w:szCs w:val="30"/>
          <w:highlight w:val="none"/>
        </w:rPr>
        <w:t xml:space="preserve">29</w:t>
      </w:r>
      <w:r>
        <w:rPr>
          <w:rFonts w:hint="eastAsia" w:ascii="黑体" w:hAnsi="宋体" w:cs="Times New Roman"/>
          <w:b w:val="0"/>
          <w:color w:val="000000"/>
          <w:sz w:val="30"/>
          <w:szCs w:val="30"/>
          <w:highlight w:val="none"/>
        </w:rPr>
        <w:t xml:space="preserve">、签订合同</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29.</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w:t>
      </w:r>
      <w:r>
        <w:rPr>
          <w:rFonts w:ascii="黑体" w:hAnsi="宋体" w:cs="Times New Roman"/>
          <w:b w:val="0"/>
          <w:color w:val="000000"/>
          <w:sz w:val="30"/>
          <w:szCs w:val="30"/>
          <w:highlight w:val="none"/>
        </w:rPr>
        <w:t xml:space="preserve">0</w:t>
      </w:r>
      <w:r>
        <w:rPr>
          <w:rFonts w:hint="eastAsia" w:ascii="黑体" w:hAnsi="宋体" w:cs="Times New Roman"/>
          <w:b w:val="0"/>
          <w:color w:val="000000"/>
          <w:sz w:val="30"/>
          <w:szCs w:val="30"/>
          <w:highlight w:val="none"/>
        </w:rPr>
        <w:t xml:space="preserve">、服务（包含与服务相关的货物）的追加</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highlight w:val="none"/>
        </w:rPr>
      </w:r>
      <w:r/>
    </w:p>
    <w:p>
      <w:pPr>
        <w:pStyle w:val="962"/>
        <w:ind w:firstLine="600"/>
        <w:spacing w:before="0" w:after="0" w:line="400" w:lineRule="exact"/>
        <w:rPr>
          <w:rFonts w:ascii="黑体" w:hAnsi="宋体" w:cs="Times New Roman"/>
          <w:b w:val="0"/>
          <w:color w:val="000000"/>
          <w:sz w:val="30"/>
          <w:szCs w:val="30"/>
          <w:highlight w:val="none"/>
        </w:rPr>
      </w:pPr>
      <w:r>
        <w:rPr>
          <w:highlight w:val="none"/>
        </w:rPr>
      </w:r>
      <w:bookmarkEnd w:id="171"/>
      <w:r>
        <w:rPr>
          <w:highlight w:val="none"/>
        </w:rPr>
      </w:r>
      <w:bookmarkEnd w:id="172"/>
      <w:r>
        <w:rPr>
          <w:highlight w:val="none"/>
        </w:rPr>
      </w:r>
      <w:bookmarkEnd w:id="173"/>
      <w:r>
        <w:rPr>
          <w:rFonts w:hint="eastAsia" w:ascii="黑体" w:hAnsi="宋体" w:cs="Times New Roman"/>
          <w:b w:val="0"/>
          <w:color w:val="000000"/>
          <w:sz w:val="30"/>
          <w:szCs w:val="30"/>
          <w:highlight w:val="none"/>
        </w:rPr>
        <w:t xml:space="preserve">3</w:t>
      </w:r>
      <w:r>
        <w:rPr>
          <w:rFonts w:ascii="黑体" w:hAnsi="宋体" w:cs="Times New Roman"/>
          <w:b w:val="0"/>
          <w:color w:val="000000"/>
          <w:sz w:val="30"/>
          <w:szCs w:val="30"/>
          <w:highlight w:val="none"/>
        </w:rPr>
        <w:t xml:space="preserve">1</w:t>
      </w:r>
      <w:r>
        <w:rPr>
          <w:rFonts w:hint="eastAsia" w:ascii="黑体" w:hAnsi="宋体" w:cs="Times New Roman"/>
          <w:b w:val="0"/>
          <w:color w:val="000000"/>
          <w:sz w:val="30"/>
          <w:szCs w:val="30"/>
          <w:highlight w:val="none"/>
        </w:rPr>
        <w:t xml:space="preserve">、政府采购履约资金扶持政策</w:t>
      </w:r>
      <w:r>
        <w:rPr>
          <w:highlight w:val="none"/>
        </w:rPr>
      </w:r>
      <w:r/>
    </w:p>
    <w:p>
      <w:pPr>
        <w:pStyle w:val="972"/>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中标供应商可凭政府采购合同办理融资贷款，详情请见江苏政府采购网“政采贷”专栏。</w:t>
      </w:r>
      <w:r>
        <w:rPr>
          <w:highlight w:val="none"/>
        </w:rPr>
      </w:r>
      <w:r/>
    </w:p>
    <w:p>
      <w:pPr>
        <w:pStyle w:val="972"/>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72"/>
        <w:spacing w:line="400" w:lineRule="exact"/>
        <w:rPr>
          <w:rFonts w:hint="eastAsia" w:ascii="宋体" w:hAnsi="宋体"/>
          <w:bCs/>
          <w:color w:val="000000"/>
          <w:sz w:val="24"/>
          <w:highlight w:val="none"/>
        </w:rPr>
      </w:pPr>
      <w:r>
        <w:rPr>
          <w:rFonts w:hint="eastAsia" w:ascii="宋体" w:hAnsi="宋体"/>
          <w:bCs/>
          <w:color w:val="000000"/>
          <w:sz w:val="24"/>
          <w:highlight w:val="none"/>
        </w:rPr>
        <w:br w:type="page" w:clear="all"/>
      </w:r>
      <w:r>
        <w:rPr>
          <w:highlight w:val="none"/>
        </w:rPr>
      </w:r>
      <w:r/>
    </w:p>
    <w:p>
      <w:pPr>
        <w:pStyle w:val="959"/>
        <w:rPr>
          <w:rFonts w:hint="eastAsia" w:ascii="黑体" w:eastAsia="黑体"/>
          <w:bCs/>
          <w:color w:val="000000"/>
          <w:sz w:val="44"/>
          <w:highlight w:val="none"/>
        </w:rPr>
      </w:pPr>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2"/>
      <w:r>
        <w:rPr>
          <w:highlight w:val="none"/>
        </w:rPr>
      </w:r>
      <w:bookmarkStart w:id="174" w:name="_Toc16938558"/>
      <w:r>
        <w:rPr>
          <w:highlight w:val="none"/>
        </w:rPr>
      </w:r>
      <w:bookmarkStart w:id="175" w:name="_Toc20823314"/>
      <w:r>
        <w:rPr>
          <w:highlight w:val="none"/>
        </w:rPr>
      </w:r>
      <w:bookmarkStart w:id="176" w:name="_Toc120614221"/>
      <w:r>
        <w:rPr>
          <w:highlight w:val="none"/>
        </w:rPr>
      </w:r>
      <w:bookmarkStart w:id="177" w:name="_Toc479757207"/>
      <w:r>
        <w:rPr>
          <w:highlight w:val="none"/>
        </w:rPr>
      </w:r>
      <w:bookmarkStart w:id="178" w:name="_Toc513029242"/>
      <w:r>
        <w:rPr>
          <w:rFonts w:hint="eastAsia" w:ascii="黑体" w:eastAsia="黑体"/>
          <w:bCs/>
          <w:color w:val="000000"/>
          <w:sz w:val="44"/>
          <w:highlight w:val="none"/>
        </w:rPr>
        <w:t xml:space="preserve">第三章  合同</w:t>
      </w:r>
      <w:bookmarkEnd w:id="174"/>
      <w:r>
        <w:rPr>
          <w:highlight w:val="none"/>
        </w:rPr>
      </w:r>
      <w:bookmarkEnd w:id="175"/>
      <w:r>
        <w:rPr>
          <w:highlight w:val="none"/>
        </w:rPr>
      </w:r>
      <w:bookmarkEnd w:id="176"/>
      <w:r>
        <w:rPr>
          <w:highlight w:val="none"/>
        </w:rPr>
      </w:r>
      <w:bookmarkEnd w:id="177"/>
      <w:r>
        <w:rPr>
          <w:highlight w:val="none"/>
        </w:rPr>
      </w:r>
      <w:bookmarkEnd w:id="178"/>
      <w:r>
        <w:rPr>
          <w:rFonts w:hint="eastAsia" w:ascii="黑体" w:eastAsia="黑体"/>
          <w:bCs/>
          <w:color w:val="000000"/>
          <w:sz w:val="44"/>
          <w:highlight w:val="none"/>
        </w:rPr>
        <w:t xml:space="preserve">文本</w:t>
      </w:r>
      <w:r>
        <w:rPr>
          <w:highlight w:val="none"/>
        </w:rPr>
      </w:r>
      <w:r/>
    </w:p>
    <w:p>
      <w:pPr>
        <w:pStyle w:val="958"/>
        <w:jc w:val="center"/>
        <w:spacing w:before="145" w:after="145"/>
        <w:rPr>
          <w:rFonts w:hint="eastAsia" w:ascii="宋体" w:hAnsi="宋体"/>
          <w:b/>
          <w:color w:val="000000"/>
          <w:sz w:val="30"/>
          <w:highlight w:val="none"/>
        </w:rPr>
        <w:outlineLvl w:val="0"/>
      </w:pPr>
      <w:r>
        <w:rPr>
          <w:highlight w:val="none"/>
        </w:rPr>
      </w:r>
      <w:bookmarkStart w:id="179" w:name="_Toc16938559"/>
      <w:r>
        <w:rPr>
          <w:highlight w:val="none"/>
        </w:rPr>
      </w:r>
      <w:bookmarkStart w:id="180" w:name="_Toc513029243"/>
      <w:r>
        <w:rPr>
          <w:highlight w:val="none"/>
        </w:rPr>
      </w:r>
      <w:bookmarkStart w:id="181" w:name="_Toc20823315"/>
      <w:r>
        <w:rPr>
          <w:highlight w:val="none"/>
        </w:rPr>
      </w:r>
      <w:r/>
    </w:p>
    <w:p>
      <w:pPr>
        <w:pStyle w:val="958"/>
        <w:jc w:val="center"/>
        <w:spacing w:before="145" w:after="145"/>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highlight w:val="none"/>
        </w:rPr>
      </w:r>
      <w:r/>
    </w:p>
    <w:p>
      <w:pPr>
        <w:pStyle w:val="958"/>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2026-2028年江苏农林职业技术学院茅山校区物业服务</w:t>
      </w:r>
      <w:r>
        <w:rPr>
          <w:rFonts w:ascii="宋体" w:hAnsi="宋体" w:cs="Courier New"/>
          <w:color w:val="000000"/>
          <w:sz w:val="24"/>
          <w:szCs w:val="24"/>
          <w:highlight w:val="none"/>
        </w:rPr>
        <w:t xml:space="preserve">                   </w:t>
      </w:r>
      <w:r>
        <w:rPr>
          <w:highlight w:val="none"/>
        </w:rPr>
      </w:r>
      <w:r/>
    </w:p>
    <w:p>
      <w:pPr>
        <w:pStyle w:val="958"/>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JSZC-320000-SCZX-G2026-0100</w:t>
      </w:r>
      <w:r>
        <w:rPr>
          <w:rFonts w:ascii="宋体" w:hAnsi="宋体" w:cs="Courier New"/>
          <w:color w:val="000000"/>
          <w:sz w:val="24"/>
          <w:szCs w:val="24"/>
          <w:highlight w:val="none"/>
        </w:rPr>
        <w:t xml:space="preserve">             </w:t>
      </w:r>
      <w:r>
        <w:rPr>
          <w:highlight w:val="none"/>
        </w:rPr>
      </w:r>
      <w:r/>
    </w:p>
    <w:p>
      <w:pPr>
        <w:pStyle w:val="95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rPr>
          <w:highlight w:val="none"/>
        </w:rPr>
      </w:r>
      <w:r/>
    </w:p>
    <w:p>
      <w:pPr>
        <w:pStyle w:val="997"/>
        <w:spacing w:before="120" w:after="120"/>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江苏省政府采购中心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highlight w:val="none"/>
        </w:rPr>
      </w:r>
      <w:r/>
    </w:p>
    <w:p>
      <w:pPr>
        <w:pStyle w:val="997"/>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highlight w:val="none"/>
        </w:rPr>
      </w:r>
      <w:r/>
    </w:p>
    <w:p>
      <w:pPr>
        <w:pStyle w:val="997"/>
        <w:spacing w:before="120" w:after="120"/>
        <w:rPr>
          <w:rFonts w:hint="eastAsia" w:hAnsi="宋体"/>
          <w:color w:val="000000"/>
          <w:sz w:val="24"/>
          <w:szCs w:val="24"/>
          <w:highlight w:val="none"/>
        </w:rPr>
      </w:pPr>
      <w:r>
        <w:rPr>
          <w:rFonts w:hint="eastAsia" w:hAnsi="宋体"/>
          <w:color w:val="000000"/>
          <w:sz w:val="24"/>
          <w:szCs w:val="24"/>
          <w:highlight w:val="none"/>
        </w:rPr>
        <w:t xml:space="preserve">1.3 标的数量（规模）：</w:t>
      </w:r>
      <w:r>
        <w:rPr>
          <w:highlight w:val="none"/>
        </w:rPr>
      </w:r>
      <w:r/>
    </w:p>
    <w:p>
      <w:pPr>
        <w:pStyle w:val="997"/>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w:t>
      </w:r>
      <w:r>
        <w:rPr>
          <w:highlight w:val="none"/>
        </w:rPr>
      </w:r>
      <w:r/>
    </w:p>
    <w:p>
      <w:pPr>
        <w:pStyle w:val="997"/>
        <w:spacing w:before="120" w:after="120"/>
        <w:rPr>
          <w:rFonts w:hAnsi="宋体"/>
          <w:color w:val="000000"/>
          <w:sz w:val="24"/>
          <w:szCs w:val="24"/>
          <w:highlight w:val="none"/>
        </w:rPr>
      </w:pPr>
      <w:r>
        <w:rPr>
          <w:rFonts w:hint="eastAsia" w:hAnsi="宋体"/>
          <w:color w:val="000000"/>
          <w:sz w:val="24"/>
          <w:szCs w:val="24"/>
          <w:highlight w:val="none"/>
        </w:rPr>
        <w:t xml:space="preserve">1.5 履行地点：</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highlight w:val="none"/>
        </w:rPr>
      </w:r>
      <w:r/>
    </w:p>
    <w:p>
      <w:pPr>
        <w:pStyle w:val="997"/>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97"/>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highlight w:val="none"/>
        </w:rPr>
      </w:r>
      <w:r/>
    </w:p>
    <w:p>
      <w:pPr>
        <w:pStyle w:val="997"/>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997"/>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highlight w:val="none"/>
        </w:rPr>
      </w:r>
      <w:r/>
    </w:p>
    <w:p>
      <w:pPr>
        <w:pStyle w:val="997"/>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highlight w:val="none"/>
        </w:rPr>
      </w:r>
      <w:r/>
    </w:p>
    <w:p>
      <w:pPr>
        <w:pStyle w:val="997"/>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highlight w:val="none"/>
        </w:rPr>
      </w:r>
      <w:r/>
    </w:p>
    <w:p>
      <w:pPr>
        <w:pStyle w:val="958"/>
        <w:ind w:firstLine="480"/>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6.1 中标人须在签订物业服务合同后5个工作日内，向采购人指定账户缴纳履约保证金人民币壹拾伍万元整（¥150000.00）。受托管理期满且中标人无任何违约情形的，采购人在期满后无息退还该保证金；若合同在期满前非因中标人违约原因而终止的，中标人有权要求采购人在合同终止手续办理完成后15个工作日内无息退还该保证金；若因中标人违约导致合同终止的，该保证金将根据合同约定不予退还，或用于抵扣相应违约金。</w:t>
      </w:r>
      <w:r>
        <w:rPr>
          <w:highlight w:val="none"/>
        </w:rPr>
      </w:r>
      <w:r/>
    </w:p>
    <w:p>
      <w:pPr>
        <w:pStyle w:val="958"/>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highlight w:val="none"/>
        </w:rPr>
      </w:r>
      <w:r/>
    </w:p>
    <w:p>
      <w:pPr>
        <w:pStyle w:val="958"/>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highlight w:val="none"/>
        </w:rPr>
      </w:r>
      <w:r/>
    </w:p>
    <w:p>
      <w:pPr>
        <w:pStyle w:val="958"/>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highlight w:val="none"/>
        </w:rPr>
      </w:r>
      <w:r/>
    </w:p>
    <w:p>
      <w:pPr>
        <w:pStyle w:val="958"/>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highlight w:val="none"/>
        </w:rPr>
      </w:r>
      <w:r/>
    </w:p>
    <w:p>
      <w:pPr>
        <w:pStyle w:val="997"/>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highlight w:val="none"/>
        </w:rPr>
      </w:r>
      <w:r/>
    </w:p>
    <w:p>
      <w:pPr>
        <w:pStyle w:val="958"/>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支付方式及安排：物业服务考核每3个月开展一次，考核得分在85分及以上的，采购人按合同约定足额支付当期合同款；考核得分在85分以下的，每低1分扣除当期合同款的1％。全年共计支付四次。考核得分低于75分（不含75分）的，采购人责令中标人限期整改；中标人连续2次或累计3次考核得分低于75分（不含75分）的，采购人有权单方终止合同。</w:t>
      </w:r>
      <w:r>
        <w:rPr>
          <w:highlight w:val="none"/>
        </w:rPr>
      </w:r>
      <w:r/>
    </w:p>
    <w:p>
      <w:pPr>
        <w:pStyle w:val="958"/>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highlight w:val="none"/>
        </w:rPr>
      </w:r>
      <w:r/>
    </w:p>
    <w:p>
      <w:pPr>
        <w:pStyle w:val="958"/>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highlight w:val="none"/>
        </w:rPr>
      </w:r>
      <w:r/>
    </w:p>
    <w:p>
      <w:pPr>
        <w:pStyle w:val="997"/>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highlight w:val="none"/>
        </w:rPr>
      </w:r>
      <w:r/>
    </w:p>
    <w:p>
      <w:pPr>
        <w:pStyle w:val="997"/>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highlight w:val="none"/>
        </w:rPr>
      </w:r>
      <w:r/>
    </w:p>
    <w:p>
      <w:pPr>
        <w:pStyle w:val="997"/>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highlight w:val="none"/>
        </w:rPr>
      </w:r>
      <w:r/>
    </w:p>
    <w:p>
      <w:pPr>
        <w:pStyle w:val="997"/>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highlight w:val="none"/>
        </w:rPr>
      </w:r>
      <w:r/>
    </w:p>
    <w:p>
      <w:pPr>
        <w:pStyle w:val="997"/>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highlight w:val="none"/>
        </w:rPr>
      </w:r>
      <w:r/>
    </w:p>
    <w:p>
      <w:pPr>
        <w:pStyle w:val="997"/>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highlight w:val="none"/>
        </w:rPr>
      </w:r>
      <w:r/>
    </w:p>
    <w:p>
      <w:pPr>
        <w:pStyle w:val="997"/>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highlight w:val="none"/>
        </w:rPr>
      </w:r>
      <w:r/>
    </w:p>
    <w:p>
      <w:pPr>
        <w:pStyle w:val="997"/>
        <w:jc w:val="center"/>
        <w:spacing w:before="120" w:after="120" w:line="0" w:lineRule="atLeast"/>
        <w:rPr>
          <w:color w:val="000000"/>
          <w:highlight w:val="none"/>
        </w:rPr>
      </w:pPr>
      <w:r>
        <w:rPr>
          <w:rFonts w:hint="eastAsia"/>
          <w:color w:val="000000"/>
          <w:highlight w:val="none"/>
        </w:rPr>
        <w:t xml:space="preserve">                                         </w:t>
      </w:r>
      <w:r>
        <w:rPr>
          <w:highlight w:val="none"/>
        </w:rPr>
      </w:r>
      <w:r/>
    </w:p>
    <w:p>
      <w:pPr>
        <w:pStyle w:val="997"/>
        <w:jc w:val="right"/>
        <w:spacing w:before="120" w:after="120" w:line="0" w:lineRule="atLeast"/>
        <w:rPr>
          <w:color w:val="000000"/>
          <w:sz w:val="24"/>
          <w:szCs w:val="24"/>
          <w:highlight w:val="none"/>
        </w:rPr>
      </w:pPr>
      <w:r>
        <w:rPr>
          <w:rFonts w:hint="eastAsia"/>
          <w:color w:val="000000"/>
          <w:sz w:val="24"/>
          <w:szCs w:val="24"/>
          <w:highlight w:val="none"/>
        </w:rPr>
        <w:t xml:space="preserve"> </w:t>
      </w:r>
      <w:r>
        <w:rPr>
          <w:highlight w:val="none"/>
        </w:rPr>
      </w:r>
      <w:r/>
    </w:p>
    <w:p>
      <w:pPr>
        <w:pStyle w:val="997"/>
        <w:jc w:val="center"/>
        <w:spacing w:before="120" w:after="120" w:line="0" w:lineRule="atLeast"/>
        <w:rPr>
          <w:rFonts w:hint="eastAsia" w:hAnsi="宋体"/>
          <w:color w:val="000000"/>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End w:id="179"/>
      <w:r>
        <w:rPr>
          <w:highlight w:val="none"/>
        </w:rPr>
      </w:r>
      <w:bookmarkEnd w:id="180"/>
      <w:r>
        <w:rPr>
          <w:highlight w:val="none"/>
        </w:rPr>
      </w:r>
      <w:bookmarkEnd w:id="181"/>
      <w:r>
        <w:rPr>
          <w:highlight w:val="none"/>
        </w:rPr>
      </w:r>
      <w:bookmarkStart w:id="182" w:name="_Hlt16619369"/>
      <w:r>
        <w:rPr>
          <w:highlight w:val="none"/>
        </w:rPr>
      </w:r>
      <w:bookmarkEnd w:id="182"/>
      <w:r>
        <w:rPr>
          <w:highlight w:val="none"/>
        </w:rPr>
      </w:r>
      <w:bookmarkStart w:id="183" w:name="_Hlt16619350"/>
      <w:r>
        <w:rPr>
          <w:highlight w:val="none"/>
        </w:rPr>
      </w:r>
      <w:bookmarkStart w:id="184" w:name="_Toc120614244"/>
      <w:r>
        <w:rPr>
          <w:highlight w:val="none"/>
        </w:rPr>
      </w:r>
      <w:bookmarkStart w:id="185" w:name="_Toc20823346"/>
      <w:r>
        <w:rPr>
          <w:highlight w:val="none"/>
        </w:rPr>
      </w:r>
      <w:bookmarkStart w:id="186" w:name="_Toc16938590"/>
      <w:r>
        <w:rPr>
          <w:highlight w:val="none"/>
        </w:rPr>
      </w:r>
      <w:bookmarkStart w:id="187" w:name="_Toc479757211"/>
      <w:r>
        <w:rPr>
          <w:highlight w:val="none"/>
        </w:rPr>
      </w:r>
      <w:bookmarkStart w:id="188" w:name="_Toc462564139"/>
      <w:r>
        <w:rPr>
          <w:rFonts w:ascii="黑体" w:eastAsia="黑体"/>
          <w:bCs/>
          <w:color w:val="000000"/>
          <w:sz w:val="44"/>
          <w:highlight w:val="none"/>
        </w:rPr>
        <w:br w:type="page" w:clear="all"/>
      </w:r>
      <w:r>
        <w:rPr>
          <w:rFonts w:hint="eastAsia" w:ascii="黑体" w:eastAsia="黑体"/>
          <w:bCs/>
          <w:color w:val="000000"/>
          <w:sz w:val="44"/>
          <w:highlight w:val="none"/>
        </w:rPr>
        <w:t xml:space="preserve">第</w:t>
      </w:r>
      <w:bookmarkEnd w:id="183"/>
      <w:r>
        <w:rPr>
          <w:rFonts w:hint="eastAsia" w:ascii="黑体" w:eastAsia="黑体"/>
          <w:bCs/>
          <w:color w:val="000000"/>
          <w:sz w:val="44"/>
          <w:highlight w:val="none"/>
        </w:rPr>
        <w:t xml:space="preserve">四章 采购需求</w:t>
      </w:r>
      <w:bookmarkEnd w:id="184"/>
      <w:r>
        <w:rPr>
          <w:highlight w:val="none"/>
        </w:rPr>
      </w:r>
      <w:bookmarkEnd w:id="185"/>
      <w:r>
        <w:rPr>
          <w:highlight w:val="none"/>
        </w:rPr>
      </w:r>
      <w:bookmarkEnd w:id="186"/>
      <w:r>
        <w:rPr>
          <w:highlight w:val="none"/>
        </w:rPr>
      </w:r>
      <w:r/>
    </w:p>
    <w:p>
      <w:pPr>
        <w:pStyle w:val="958"/>
        <w:spacing w:line="0" w:lineRule="atLeast"/>
        <w:rPr>
          <w:rFonts w:ascii="宋体" w:hAnsi="宋体"/>
          <w:b/>
          <w:color w:val="000000"/>
          <w:sz w:val="24"/>
          <w:szCs w:val="24"/>
          <w:highlight w:val="none"/>
        </w:rPr>
      </w:pPr>
      <w:r>
        <w:rPr>
          <w:highlight w:val="none"/>
        </w:rPr>
      </w:r>
      <w:bookmarkStart w:id="189" w:name="_Toc49090575"/>
      <w:r>
        <w:rPr>
          <w:highlight w:val="none"/>
        </w:rPr>
      </w:r>
      <w:bookmarkStart w:id="190" w:name="_Toc26554093"/>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采购包</w:t>
            </w:r>
            <w:r>
              <w:rPr>
                <w:highlight w:val="none"/>
              </w:rPr>
            </w:r>
            <w:r/>
          </w:p>
        </w:tc>
        <w:tc>
          <w:tcPr>
            <w:tcW w:w="545"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291"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highlight w:val="none"/>
              </w:rPr>
            </w:r>
            <w:r/>
          </w:p>
        </w:tc>
        <w:tc>
          <w:tcPr>
            <w:tcW w:w="2852"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highlight w:val="none"/>
              </w:rPr>
            </w:r>
            <w:r/>
          </w:p>
        </w:tc>
      </w:tr>
      <w:tr>
        <w:trPr>
          <w:cantSplit/>
          <w:trHeight w:val="291"/>
        </w:trPr>
        <w:tc>
          <w:tcPr>
            <w:tcW w:w="545" w:type="dxa"/>
            <w:vAlign w:val="top"/>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highlight w:val="none"/>
              </w:rPr>
            </w:r>
            <w:r/>
          </w:p>
        </w:tc>
        <w:tc>
          <w:tcPr>
            <w:tcW w:w="545" w:type="dxa"/>
            <w:vAlign w:val="top"/>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291" w:type="dxa"/>
            <w:vAlign w:val="top"/>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2026-2028年江苏农林职业技术学院茅山校区物业服务</w:t>
            </w:r>
            <w:r>
              <w:rPr>
                <w:highlight w:val="none"/>
              </w:rPr>
            </w:r>
            <w:r/>
          </w:p>
        </w:tc>
        <w:tc>
          <w:tcPr>
            <w:tcW w:w="2852" w:type="dxa"/>
            <w:vAlign w:val="top"/>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物业管理服务</w:t>
            </w:r>
            <w:r>
              <w:rPr>
                <w:highlight w:val="none"/>
              </w:rPr>
            </w:r>
            <w:r/>
          </w:p>
        </w:tc>
      </w:tr>
    </w:tbl>
    <w:p>
      <w:pPr>
        <w:pStyle w:val="958"/>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rPr>
          <w:highlight w:val="none"/>
        </w:rPr>
      </w:r>
      <w:r/>
    </w:p>
    <w:p>
      <w:pPr>
        <w:pStyle w:val="958"/>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项目属性:服务类项目。</w:t>
      </w:r>
      <w:r>
        <w:rPr>
          <w:highlight w:val="none"/>
        </w:rPr>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一、项目概况及背景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rPr>
          <w:rFonts w:ascii="SimSun" w:hAnsi="SimSun" w:eastAsia="SimSun" w:cs="SimSun"/>
          <w:color w:val="000000"/>
          <w:sz w:val="24"/>
        </w:rPr>
        <w:t xml:space="preserve">江苏农林职业技术学院茅山校区落于句容市茅山镇，占地面积约</w:t>
      </w:r>
      <w:r>
        <w:rPr>
          <w:rFonts w:ascii="Calibri" w:hAnsi="Calibri" w:eastAsia="Calibri" w:cs="Calibri"/>
          <w:color w:val="000000"/>
          <w:sz w:val="24"/>
        </w:rPr>
        <w:t xml:space="preserve">200</w:t>
      </w:r>
      <w:r>
        <w:rPr>
          <w:rFonts w:ascii="SimSun" w:hAnsi="SimSun" w:eastAsia="SimSun" w:cs="SimSun"/>
          <w:color w:val="000000"/>
          <w:sz w:val="24"/>
        </w:rPr>
        <w:t xml:space="preserve">亩，建筑面积约</w:t>
      </w:r>
      <w:r>
        <w:rPr>
          <w:rFonts w:ascii="Calibri" w:hAnsi="Calibri" w:eastAsia="Calibri" w:cs="Calibri"/>
          <w:color w:val="000000"/>
          <w:sz w:val="24"/>
        </w:rPr>
        <w:t xml:space="preserve">5</w:t>
      </w:r>
      <w:r>
        <w:rPr>
          <w:rFonts w:ascii="SimSun" w:hAnsi="SimSun" w:eastAsia="SimSun" w:cs="SimSun"/>
          <w:color w:val="000000"/>
          <w:sz w:val="24"/>
        </w:rPr>
        <w:t xml:space="preserve">万㎡。物业服务覆盖校区内行政办公楼</w:t>
      </w:r>
      <w:r>
        <w:rPr>
          <w:rFonts w:ascii="Calibri" w:hAnsi="Calibri" w:eastAsia="Calibri" w:cs="Calibri"/>
          <w:color w:val="000000"/>
          <w:sz w:val="24"/>
        </w:rPr>
        <w:t xml:space="preserve">1</w:t>
      </w:r>
      <w:r>
        <w:rPr>
          <w:rFonts w:ascii="SimSun" w:hAnsi="SimSun" w:eastAsia="SimSun" w:cs="SimSun"/>
          <w:color w:val="000000"/>
          <w:sz w:val="24"/>
        </w:rPr>
        <w:t xml:space="preserve">栋、教学楼</w:t>
      </w:r>
      <w:r>
        <w:rPr>
          <w:rFonts w:ascii="Calibri" w:hAnsi="Calibri" w:eastAsia="Calibri" w:cs="Calibri"/>
          <w:color w:val="000000"/>
          <w:sz w:val="24"/>
        </w:rPr>
        <w:t xml:space="preserve">2</w:t>
      </w:r>
      <w:r>
        <w:rPr>
          <w:rFonts w:ascii="SimSun" w:hAnsi="SimSun" w:eastAsia="SimSun" w:cs="SimSun"/>
          <w:color w:val="000000"/>
          <w:sz w:val="24"/>
        </w:rPr>
        <w:t xml:space="preserve">栋、学生公寓</w:t>
      </w:r>
      <w:r>
        <w:rPr>
          <w:rFonts w:ascii="Calibri" w:hAnsi="Calibri" w:eastAsia="Calibri" w:cs="Calibri"/>
          <w:color w:val="000000"/>
          <w:sz w:val="24"/>
        </w:rPr>
        <w:t xml:space="preserve">6</w:t>
      </w:r>
      <w:r>
        <w:rPr>
          <w:rFonts w:ascii="SimSun" w:hAnsi="SimSun" w:eastAsia="SimSun" w:cs="SimSun"/>
          <w:color w:val="000000"/>
          <w:sz w:val="24"/>
        </w:rPr>
        <w:t xml:space="preserve">栋、图书信息中心</w:t>
      </w:r>
      <w:r>
        <w:rPr>
          <w:rFonts w:ascii="Calibri" w:hAnsi="Calibri" w:eastAsia="Calibri" w:cs="Calibri"/>
          <w:color w:val="000000"/>
          <w:sz w:val="24"/>
        </w:rPr>
        <w:t xml:space="preserve">1</w:t>
      </w:r>
      <w:r>
        <w:rPr>
          <w:rFonts w:ascii="SimSun" w:hAnsi="SimSun" w:eastAsia="SimSun" w:cs="SimSun"/>
          <w:color w:val="000000"/>
          <w:sz w:val="24"/>
        </w:rPr>
        <w:t xml:space="preserve">栋、报告厅</w:t>
      </w:r>
      <w:r>
        <w:rPr>
          <w:rFonts w:ascii="Calibri" w:hAnsi="Calibri" w:eastAsia="Calibri" w:cs="Calibri"/>
          <w:color w:val="000000"/>
          <w:sz w:val="24"/>
        </w:rPr>
        <w:t xml:space="preserve">1</w:t>
      </w:r>
      <w:r>
        <w:rPr>
          <w:rFonts w:ascii="SimSun" w:hAnsi="SimSun" w:eastAsia="SimSun" w:cs="SimSun"/>
          <w:color w:val="000000"/>
          <w:sz w:val="24"/>
        </w:rPr>
        <w:t xml:space="preserve">栋、艺体中心</w:t>
      </w:r>
      <w:r>
        <w:rPr>
          <w:rFonts w:ascii="Calibri" w:hAnsi="Calibri" w:eastAsia="Calibri" w:cs="Calibri"/>
          <w:color w:val="000000"/>
          <w:sz w:val="24"/>
        </w:rPr>
        <w:t xml:space="preserve">1</w:t>
      </w:r>
      <w:r>
        <w:rPr>
          <w:rFonts w:ascii="SimSun" w:hAnsi="SimSun" w:eastAsia="SimSun" w:cs="SimSun"/>
          <w:color w:val="000000"/>
          <w:sz w:val="24"/>
        </w:rPr>
        <w:t xml:space="preserve">栋，以及文创园、实境课堂、心理咨询中心、快递中心等区域；同时包含校园主干道与支路、水域、</w:t>
      </w:r>
      <w:r>
        <w:rPr>
          <w:rFonts w:ascii="Calibri" w:hAnsi="Calibri" w:eastAsia="Calibri" w:cs="Calibri"/>
          <w:color w:val="000000"/>
          <w:sz w:val="24"/>
        </w:rPr>
        <w:t xml:space="preserve">2</w:t>
      </w:r>
      <w:r>
        <w:rPr>
          <w:rFonts w:ascii="SimSun" w:hAnsi="SimSun" w:eastAsia="SimSun" w:cs="SimSun"/>
          <w:color w:val="000000"/>
          <w:sz w:val="24"/>
        </w:rPr>
        <w:t xml:space="preserve">块运动场（含看台）、停车场、广场、</w:t>
      </w:r>
      <w:r>
        <w:rPr>
          <w:rFonts w:ascii="Calibri" w:hAnsi="Calibri" w:eastAsia="Calibri" w:cs="Calibri"/>
          <w:color w:val="000000"/>
          <w:sz w:val="24"/>
        </w:rPr>
        <w:t xml:space="preserve">1</w:t>
      </w:r>
      <w:r>
        <w:rPr>
          <w:rFonts w:ascii="SimSun" w:hAnsi="SimSun" w:eastAsia="SimSun" w:cs="SimSun"/>
          <w:color w:val="000000"/>
          <w:sz w:val="24"/>
        </w:rPr>
        <w:t xml:space="preserve">个垃圾中转场及其他公共区域。目前校区内学生床位数约</w:t>
      </w:r>
      <w:r>
        <w:rPr>
          <w:rFonts w:ascii="Calibri" w:hAnsi="Calibri" w:eastAsia="Calibri" w:cs="Calibri"/>
          <w:color w:val="000000"/>
          <w:sz w:val="24"/>
        </w:rPr>
        <w:t xml:space="preserve">2500</w:t>
      </w:r>
      <w:r>
        <w:rPr>
          <w:rFonts w:ascii="SimSun" w:hAnsi="SimSun" w:eastAsia="SimSun" w:cs="SimSun"/>
          <w:color w:val="000000"/>
          <w:sz w:val="24"/>
        </w:rPr>
        <w:t xml:space="preserve">个，教职工及社会性人员约</w:t>
      </w:r>
      <w:r>
        <w:rPr>
          <w:rFonts w:ascii="Calibri" w:hAnsi="Calibri" w:eastAsia="Calibri" w:cs="Calibri"/>
          <w:color w:val="000000"/>
          <w:sz w:val="24"/>
        </w:rPr>
        <w:t xml:space="preserve">100</w:t>
      </w:r>
      <w:r>
        <w:rPr>
          <w:rFonts w:ascii="SimSun" w:hAnsi="SimSun" w:eastAsia="SimSun" w:cs="SimSun"/>
          <w:color w:val="000000"/>
          <w:sz w:val="24"/>
        </w:rPr>
        <w:t xml:space="preserve">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项目背景：</w:t>
      </w:r>
      <w:r>
        <w:rPr>
          <w:rFonts w:ascii="SimSun" w:hAnsi="SimSun" w:eastAsia="SimSun" w:cs="SimSun"/>
          <w:color w:val="000000"/>
          <w:sz w:val="24"/>
        </w:rPr>
        <w:t xml:space="preserve">本项目现管理单位为江苏茗苑农业科技有限公司，管理人员、宿舍管理员、综合维修工等合同工</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人。为进一步加强高校后勤社会化改革工作，优化后勤管理体制，集中精力办教育，提高工作效率，转化后勤工勤人员管理主体，减轻新管理单位人员招聘工作压力。现面向社会招标管理实体，完成物业管理、人员转化等社会化改革工作。</w:t>
      </w:r>
      <w:r>
        <w:rPr>
          <w:rFonts w:ascii="SimSun" w:hAnsi="SimSun" w:eastAsia="SimSun" w:cs="SimSun"/>
          <w:color w:val="000000"/>
          <w:sz w:val="24"/>
          <w:highlight w:val="none"/>
        </w:rPr>
        <w:t xml:space="preserve">该项目中管理人员人均月支出费用约7200</w:t>
      </w:r>
      <w:r>
        <w:rPr>
          <w:rFonts w:ascii="SimSun" w:hAnsi="SimSun" w:eastAsia="SimSun" w:cs="SimSun"/>
          <w:color w:val="000000"/>
          <w:sz w:val="24"/>
          <w:highlight w:val="none"/>
        </w:rPr>
        <w:t xml:space="preserve">元，</w:t>
      </w:r>
      <w:r>
        <w:rPr>
          <w:rFonts w:ascii="SimSun" w:hAnsi="SimSun" w:eastAsia="SimSun" w:cs="SimSun"/>
          <w:color w:val="000000"/>
          <w:sz w:val="24"/>
          <w:highlight w:val="none"/>
        </w:rPr>
        <w:t xml:space="preserve">宿</w:t>
      </w:r>
      <w:r>
        <w:rPr>
          <w:rFonts w:ascii="SimSun" w:hAnsi="SimSun" w:eastAsia="SimSun" w:cs="SimSun"/>
          <w:color w:val="000000"/>
          <w:sz w:val="24"/>
        </w:rPr>
        <w:t xml:space="preserve">舍管理员人均月支出费用约</w:t>
      </w:r>
      <w:r>
        <w:rPr>
          <w:rFonts w:ascii="Times New Roman" w:hAnsi="Times New Roman" w:eastAsia="Times New Roman" w:cs="Times New Roman"/>
          <w:color w:val="000000"/>
          <w:sz w:val="24"/>
        </w:rPr>
        <w:t xml:space="preserve">4800</w:t>
      </w:r>
      <w:r>
        <w:rPr>
          <w:rFonts w:ascii="SimSun" w:hAnsi="SimSun" w:eastAsia="SimSun" w:cs="SimSun"/>
          <w:color w:val="000000"/>
          <w:sz w:val="24"/>
        </w:rPr>
        <w:t xml:space="preserve">元，综合维修工人均月支出费用约</w:t>
      </w:r>
      <w:r>
        <w:rPr>
          <w:rFonts w:ascii="Times New Roman" w:hAnsi="Times New Roman" w:eastAsia="Times New Roman" w:cs="Times New Roman"/>
          <w:color w:val="000000"/>
          <w:sz w:val="24"/>
        </w:rPr>
        <w:t xml:space="preserve">6800</w:t>
      </w:r>
      <w:r>
        <w:rPr>
          <w:rFonts w:ascii="SimSun" w:hAnsi="SimSun" w:eastAsia="SimSun" w:cs="SimSun"/>
          <w:color w:val="000000"/>
          <w:sz w:val="24"/>
        </w:rPr>
        <w:t xml:space="preserve">元。（仅供参考，不作为报价依据）</w:t>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（一）物业服务内容</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本项目物业管理服务内容主要包含以下</w:t>
      </w:r>
      <w:r>
        <w:rPr>
          <w:rFonts w:hint="eastAsia"/>
          <w:bCs/>
          <w:color w:val="000000"/>
          <w:sz w:val="24"/>
          <w:szCs w:val="24"/>
          <w:highlight w:val="none"/>
          <w:lang w:val="en-US" w:eastAsia="zh-CN"/>
        </w:rPr>
        <w:t xml:space="preserve">十</w:t>
      </w:r>
      <w:r>
        <w:rPr>
          <w:rFonts w:hint="eastAsia"/>
          <w:bCs/>
          <w:color w:val="000000"/>
          <w:sz w:val="24"/>
          <w:szCs w:val="24"/>
          <w:highlight w:val="none"/>
        </w:rPr>
        <w:t xml:space="preserve">大类别：</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1.公共设施管理：包括但不限于各类设施设备的使用与管理、日常维护保养、维修、巡查与值守以及固定资产的盘点统计与管理等；</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2.小型维修服务：包括但不限于开展水电、消防设施、教室及实训场地公共区域、学生宿舍等公共设施的管理维护与维修，负责校园弱电设备系统、配电房、开闭所、污水设备的运行管理，协助完成大型维修与改造项目等；</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3.环境卫生管理：包括但不限于对校园公共区域、教学实训区域、办公区域、学生宿舍、食堂周边等进行保洁作业，开展生活生产垃圾清运、化粪池清理、垃圾处理与消杀防疫、水面及池塘清理等工作；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4.学生公寓管理服务：包括但不限于实施</w:t>
      </w:r>
      <w:bookmarkStart w:id="191" w:name="OLE_LINK4"/>
      <w:r>
        <w:rPr>
          <w:rFonts w:hint="eastAsia"/>
          <w:bCs/>
          <w:color w:val="000000"/>
          <w:sz w:val="24"/>
          <w:szCs w:val="24"/>
          <w:highlight w:val="none"/>
        </w:rPr>
        <w:t xml:space="preserve">住宿秩序管理、安全管控、卫生管理、设施设备管理、人员管理、应急管理，提供基础住宿、后勤保障、育人辅助、便民贴心等相关服务</w:t>
      </w:r>
      <w:bookmarkEnd w:id="191"/>
      <w:r>
        <w:rPr>
          <w:rFonts w:hint="eastAsia"/>
          <w:bCs/>
          <w:color w:val="000000"/>
          <w:sz w:val="24"/>
          <w:szCs w:val="24"/>
          <w:highlight w:val="none"/>
        </w:rPr>
        <w:t xml:space="preserve">；</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5.楼宇管理服务：包括但不限落实楼宇门禁与人员管控、楼宇结构与公共部位管护、楼宇设施运维管理、楼宇消防安防管理，以及台账与巡检管理等工作；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6.用电保障服务：包括但不限于提供用电保障基础服务、重点区域专项用电保障，实施用电安全全流程管控、停电管理与应急处置，规范日常用电管理工作；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7.绿化服务：包括但不限于开展绿植浇水、施肥、修剪整形、病虫害防治、除杂草松土、补植等作业，做好绿化垃圾清理、防风防汛、绿植保护等工作；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8.教学会议保障服务：包括但不限于为校区教学活动、各类会议提供全程保障服务；</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9. 生活生产垃圾清运服务：包括但不限于按要求分类收集垃圾、按时清运，做好收集点保洁与台账登记，每日巡查各垃圾点位，排查堆积、渗漏、异味等问题，及时整改并上报；对接校方后勤及合规清运单位，做好垃圾合规交接与安全隐患处置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0.</w:t>
      </w:r>
      <w:r>
        <w:rPr>
          <w:rFonts w:hint="eastAsia"/>
          <w:bCs/>
          <w:color w:val="000000"/>
          <w:sz w:val="24"/>
          <w:szCs w:val="24"/>
          <w:highlight w:val="none"/>
        </w:rPr>
        <w:t xml:space="preserve">校园应急保障服务：包括但不限于针对重点应急场景、水电设施突发状况、恶劣天气、治安与突发事件、公共卫生事件等开展应急处置，落实日常应急保障基础工作。</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（二）服务区域范围</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本项目物业服务区域为江苏农林职业技术学院茅山校区全域。</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（三）服务方案</w:t>
      </w:r>
      <w:r>
        <w:rPr>
          <w:highlight w:val="none"/>
        </w:rPr>
      </w:r>
      <w:r/>
    </w:p>
    <w:p>
      <w:pPr>
        <w:pStyle w:val="958"/>
        <w:ind w:firstLine="480"/>
        <w:jc w:val="left"/>
        <w:spacing w:line="440" w:lineRule="exact"/>
        <w:widowControl/>
        <w:rPr>
          <w:rFonts w:hint="eastAsia"/>
          <w:bCs/>
          <w:color w:val="000000"/>
          <w:sz w:val="24"/>
          <w:szCs w:val="24"/>
          <w:highlight w:val="none"/>
        </w:rPr>
      </w:pPr>
      <w:r>
        <w:rPr>
          <w:highlight w:val="none"/>
        </w:rPr>
      </w:r>
      <w:bookmarkStart w:id="192" w:name="OLE_LINK1"/>
      <w:r>
        <w:rPr>
          <w:rFonts w:hint="eastAsia"/>
          <w:bCs/>
          <w:color w:val="000000"/>
          <w:sz w:val="24"/>
          <w:szCs w:val="24"/>
          <w:highlight w:val="none"/>
        </w:rPr>
        <w:t xml:space="preserve">投标人提交的物业服务方案，须对本项目进行全面系统的总体分析，提出总体物业管理服务模式及服务理念，明确对本项目的整体服务设想、拟采用的管理服务模式等核心内容，紧扣采购人实际物业服务需求，兼具前瞻性、科学性和可操作性。做到管理服务定位准确、思路清晰、目标合理，应对措施具有较强的针对性；须结合项目现场实际情况，精准识别项目特点、服务难点和关键管控点，对潜在服务需求做出合理预判；管理架构设置须科学合理、运行高效，能为物业服务质量提供有力保障；人员培训安排须贴合项目实际，具有针对性，能满足项目现场日常管理需求。</w:t>
      </w:r>
      <w:bookmarkEnd w:id="192"/>
      <w:r>
        <w:rPr>
          <w:highlight w:val="none"/>
        </w:rPr>
      </w:r>
      <w:r/>
    </w:p>
    <w:p>
      <w:pPr>
        <w:pStyle w:val="958"/>
        <w:ind w:firstLine="480"/>
        <w:jc w:val="left"/>
        <w:spacing w:line="440" w:lineRule="exact"/>
        <w:widowControl/>
        <w:rPr>
          <w:bCs/>
          <w:color w:val="000000"/>
          <w:sz w:val="24"/>
          <w:szCs w:val="24"/>
          <w:highlight w:val="none"/>
        </w:rPr>
      </w:pPr>
      <w:r>
        <w:rPr>
          <w:rFonts w:hint="eastAsia"/>
          <w:bCs/>
          <w:color w:val="000000"/>
          <w:sz w:val="24"/>
          <w:szCs w:val="24"/>
          <w:highlight w:val="none"/>
        </w:rPr>
        <w:t xml:space="preserve">物业服务方案至少包含以下内容：</w:t>
      </w:r>
      <w:r>
        <w:rPr>
          <w:highlight w:val="none"/>
        </w:rPr>
      </w:r>
      <w:r/>
    </w:p>
    <w:p>
      <w:pPr>
        <w:pStyle w:val="958"/>
        <w:numPr>
          <w:ilvl w:val="0"/>
          <w:numId w:val="0"/>
        </w:numPr>
        <w:ind w:left="842" w:hanging="360"/>
        <w:jc w:val="left"/>
        <w:spacing w:line="440" w:lineRule="exact"/>
        <w:widowControl/>
        <w:rPr>
          <w:rFonts w:ascii="宋体" w:hAnsi="宋体" w:cs="宋体"/>
          <w:b/>
          <w:bCs/>
          <w:color w:val="000000"/>
          <w:sz w:val="24"/>
          <w:szCs w:val="24"/>
          <w:highlight w:val="none"/>
        </w:rPr>
      </w:pPr>
      <w:r>
        <w:rPr>
          <w:rFonts w:ascii="Times New Roman" w:hAnsi="Times New Roman" w:cs="Times New Roman"/>
          <w:b/>
          <w:bCs/>
          <w:color w:val="000000"/>
          <w:sz w:val="24"/>
          <w:szCs w:val="24"/>
          <w:highlight w:val="none"/>
          <w:lang w:val="en-US" w:eastAsia="zh-CN" w:bidi="ar-SA"/>
        </w:rPr>
        <w:t xml:space="preserve">1.</w:t>
      </w:r>
      <w:r>
        <w:rPr>
          <w:rFonts w:ascii="宋体" w:hAnsi="宋体" w:cs="宋体"/>
          <w:b/>
          <w:bCs/>
          <w:color w:val="000000"/>
          <w:sz w:val="24"/>
          <w:szCs w:val="24"/>
          <w:highlight w:val="none"/>
        </w:rPr>
        <w:t xml:space="preserve">项目认知及重难点分析</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基于对茅山校区的地理位置、办学特点及物业委托服务范围的深入调研，从项目背景、服务需求、工作范围三个维度进行全面系统的认知分析。本项目地处茅山校区，集教学实训、学生住宿、行政办公、文体活动等多功能于一体，服务范围覆盖公共设施管理、小型维修、环境卫生、绿化养护、楼宇管理、用电保障、公寓24小时值守、教学会议保障、垃圾清运及应急保障等板块，具有服务对象多元化、设施设备繁杂、保障时效要求高、安全责任重大的显著特点。供应商须明确“安全有序、环境优美、响应迅</w:t>
      </w:r>
      <w:r>
        <w:rPr>
          <w:bCs/>
          <w:color w:val="000000"/>
          <w:sz w:val="24"/>
          <w:szCs w:val="24"/>
          <w:highlight w:val="none"/>
        </w:rPr>
        <w:t xml:space="preserve">速、师生满意”的整体服务目标，并针对以下重难点提出针对性应对方案：一是学生公寓24小时安全管理与育人服务的深度融合，需建立专业化宿管队伍，完善晚归登记、违禁品排查及突发事件处置机制，同时配合校方开展宿舍文明建设；二是教学实训区域设施高频率使用与保障压力，须落实课前巡检、课中值守、课后快修的全流程保障体系，确保教学秩序零干扰；三是核心供电设施全年无故障运行的技术挑战，需配置持证高压电工24小时值班，严格执行预防性试验与隐患排查；四是多业态交织下的环境卫生与垃圾分类管控难度，应分区细化保洁标准，建立生活生产垃圾</w:t>
      </w:r>
      <w:r>
        <w:rPr>
          <w:rFonts w:hint="eastAsia"/>
          <w:bCs/>
          <w:color w:val="000000"/>
          <w:sz w:val="24"/>
          <w:szCs w:val="24"/>
          <w:highlight w:val="none"/>
        </w:rPr>
        <w:t xml:space="preserve">及</w:t>
      </w:r>
      <w:r>
        <w:rPr>
          <w:bCs/>
          <w:color w:val="000000"/>
          <w:sz w:val="24"/>
          <w:szCs w:val="24"/>
          <w:highlight w:val="none"/>
        </w:rPr>
        <w:t xml:space="preserve">危险废料的合规处置流程；五是校园应急保障的复杂性与时效性要求，须构建覆盖消防、水电、恶劣天气、治安事件的全方位应急预案，落实3-5分钟到场处置机制。针对上述重难点，供应商须提出切实可行的应对策略与保障措施，体现对项目复杂性的深刻把握和专业化解决问题的能力。</w:t>
      </w:r>
      <w:r>
        <w:rPr>
          <w:highlight w:val="none"/>
        </w:rPr>
      </w:r>
      <w:r/>
    </w:p>
    <w:p>
      <w:pPr>
        <w:pStyle w:val="958"/>
        <w:numPr>
          <w:ilvl w:val="0"/>
          <w:numId w:val="0"/>
        </w:numPr>
        <w:ind w:left="842" w:hanging="360"/>
        <w:jc w:val="left"/>
        <w:spacing w:line="440" w:lineRule="exact"/>
        <w:widowControl/>
        <w:rPr>
          <w:b/>
          <w:color w:val="000000"/>
          <w:sz w:val="24"/>
          <w:szCs w:val="24"/>
          <w:highlight w:val="none"/>
        </w:rPr>
      </w:pPr>
      <w:r>
        <w:rPr>
          <w:rFonts w:ascii="Times New Roman" w:hAnsi="Times New Roman" w:cs="Times New Roman"/>
          <w:b/>
          <w:color w:val="000000"/>
          <w:sz w:val="24"/>
          <w:szCs w:val="24"/>
          <w:highlight w:val="none"/>
          <w:lang w:val="en-US" w:eastAsia="zh-CN" w:bidi="ar-SA"/>
        </w:rPr>
        <w:t xml:space="preserve">2.</w:t>
      </w:r>
      <w:r>
        <w:rPr>
          <w:rFonts w:ascii="宋体" w:hAnsi="宋体" w:cs="宋体"/>
          <w:b/>
          <w:bCs/>
          <w:color w:val="000000"/>
          <w:sz w:val="24"/>
          <w:szCs w:val="24"/>
          <w:highlight w:val="none"/>
        </w:rPr>
        <w:t xml:space="preserve">安全文明管理制度</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严格遵守国家安全法规及校方管理规定，制定覆盖消防安全、用电安全、作业安全、治安防范、行为规范等方面的安全文明管理制度体系。制度应明确各岗位安全责任清单，细化带电涉水作业、高空作业等特种作业的安全防护标准与操作流程，落实配电房、消防通道、危废暂存点等重点部位的日常巡查与隐患整改闭环机制。同时，对从业人员统一着装、文明用语、挂牌上岗、工位禁烟等行为规范作出明确规定，确保物业服务过程安全有序、文明规范，杜绝安全责任事故。</w:t>
      </w:r>
      <w:r>
        <w:rPr>
          <w:highlight w:val="none"/>
        </w:rPr>
      </w:r>
      <w:r/>
    </w:p>
    <w:p>
      <w:pPr>
        <w:pStyle w:val="958"/>
        <w:numPr>
          <w:ilvl w:val="0"/>
          <w:numId w:val="0"/>
        </w:numPr>
        <w:ind w:left="842" w:hanging="360"/>
        <w:jc w:val="left"/>
        <w:spacing w:line="440" w:lineRule="exact"/>
        <w:widowControl/>
        <w:rPr>
          <w:b/>
          <w:color w:val="000000"/>
          <w:sz w:val="24"/>
          <w:szCs w:val="24"/>
          <w:highlight w:val="none"/>
        </w:rPr>
      </w:pPr>
      <w:r>
        <w:rPr>
          <w:rFonts w:ascii="Times New Roman" w:hAnsi="Times New Roman" w:cs="Times New Roman"/>
          <w:b/>
          <w:color w:val="000000"/>
          <w:sz w:val="24"/>
          <w:szCs w:val="24"/>
          <w:highlight w:val="none"/>
          <w:lang w:val="en-US" w:eastAsia="zh-CN" w:bidi="ar-SA"/>
        </w:rPr>
        <w:t xml:space="preserve">3.</w:t>
      </w:r>
      <w:r>
        <w:rPr>
          <w:rFonts w:ascii="宋体" w:hAnsi="宋体" w:cs="宋体"/>
          <w:b/>
          <w:bCs/>
          <w:color w:val="000000"/>
          <w:sz w:val="24"/>
          <w:szCs w:val="24"/>
          <w:highlight w:val="none"/>
        </w:rPr>
        <w:t xml:space="preserve">人员考核管理制度</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结合校区物业服务岗位多样化的特点，制定覆盖项目经理到一线保洁、维修、宿管、绿化等所有岗位的人员考核管理制度。制度应建立量化考核指标体系，将工作纪律、服务态度、任务完成质量、师生满意度、应急处置表现等内容纳入考核范畴，实行日常抽查、月度考评与季度综合评定相结合的方式。考核结果应直接与员工薪酬待遇、评优晋升挂钩，建立奖惩分明的激励约束机制，激发员工工作积极性与主动性，保障整体服务品质持续优化。</w:t>
      </w:r>
      <w:r>
        <w:rPr>
          <w:highlight w:val="none"/>
        </w:rPr>
      </w:r>
      <w:r/>
    </w:p>
    <w:p>
      <w:pPr>
        <w:pStyle w:val="958"/>
        <w:numPr>
          <w:ilvl w:val="0"/>
          <w:numId w:val="0"/>
        </w:numPr>
        <w:ind w:left="842" w:hanging="360"/>
        <w:jc w:val="left"/>
        <w:spacing w:line="440" w:lineRule="exact"/>
        <w:widowControl/>
        <w:rPr>
          <w:b/>
          <w:color w:val="000000"/>
          <w:sz w:val="24"/>
          <w:szCs w:val="24"/>
          <w:highlight w:val="none"/>
        </w:rPr>
      </w:pPr>
      <w:r>
        <w:rPr>
          <w:rFonts w:ascii="Times New Roman" w:hAnsi="Times New Roman" w:cs="Times New Roman"/>
          <w:b/>
          <w:color w:val="000000"/>
          <w:sz w:val="24"/>
          <w:szCs w:val="24"/>
          <w:highlight w:val="none"/>
          <w:lang w:val="en-US" w:eastAsia="zh-CN" w:bidi="ar-SA"/>
        </w:rPr>
        <w:t xml:space="preserve">4.</w:t>
      </w:r>
      <w:r>
        <w:rPr>
          <w:rFonts w:hint="eastAsia" w:ascii="宋体" w:hAnsi="宋体" w:cs="宋体"/>
          <w:b/>
          <w:bCs/>
          <w:color w:val="000000"/>
          <w:sz w:val="24"/>
          <w:szCs w:val="24"/>
          <w:highlight w:val="none"/>
        </w:rPr>
        <w:t xml:space="preserve">物业档案及台账管理制度</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建立标准化、数字化、可追溯的物业档案及台账管理制度。制度应明确各类档案资料的收集范围（包括但不限于设施设备台账、巡检维修记录、保洁消杀记录、值班值守日志、师生投诉处理记录、应急预案演练记录等）、归档标准、保管期限及查阅权限。台账记录须真实、准确、完整，确保纸质台账与信息化管理系统数据同步。通过完善的档案管理，为日常服务监督、问题复盘溯源、服务质量评估提供坚实的数据支撑。</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5</w:t>
      </w:r>
      <w:r>
        <w:rPr>
          <w:rFonts w:hint="eastAsia"/>
          <w:b/>
          <w:color w:val="000000"/>
          <w:sz w:val="24"/>
          <w:szCs w:val="24"/>
          <w:highlight w:val="none"/>
        </w:rPr>
        <w:t xml:space="preserve">.公共设施管理服务方案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校区公共设施分布广、类型多的特点，制定覆盖设施台账建立、日常巡检维护、故障分级响应、重大事项报告等全流程的公共设施管理服务方案。方案应明确各类设施的巡查频次、保养标准及完好率目标，严格执行5分钟响应、2小时修复的报修时效要求，同时建立设施运行档案与维修记录，确保设施管理精细化、常态化、可追溯。</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6</w:t>
      </w:r>
      <w:r>
        <w:rPr>
          <w:rFonts w:hint="eastAsia"/>
          <w:b/>
          <w:color w:val="000000"/>
          <w:sz w:val="24"/>
          <w:szCs w:val="24"/>
          <w:highlight w:val="none"/>
        </w:rPr>
        <w:t xml:space="preserve">.学生公寓服务方案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本项目要求，并结合学生公寓特点和学生需求，立足教育、管理、服务“三位一体”，制定学生公寓服务方案，包括住宿秩序管理、安全管控、卫生管理、设施设备管理、人员管理、应急管理，提供基础住宿、后勤保障、育人辅助、便民贴心等相关服务等方面。方案应完整全面、科学合理、切实可行，既要体现公寓物业服务的共性，也要体现高校学生公寓作为育人重要阵地的价值。</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7</w:t>
      </w:r>
      <w:r>
        <w:rPr>
          <w:rFonts w:hint="eastAsia"/>
          <w:b/>
          <w:color w:val="000000"/>
          <w:sz w:val="24"/>
          <w:szCs w:val="24"/>
          <w:highlight w:val="none"/>
        </w:rPr>
        <w:t xml:space="preserve">.环境卫生服务方案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校区室内外各类区域的保洁需求，制定分级分类的环境卫生服务方案，涵盖公共区域、教学实训区、宿舍区、食堂周边、绿化区域及卫生间的日常保洁、循环保洁和周期性深度清洁。方案须明确各区域的清洁频次、作业流程、质量标准及消杀防疫要求，落实垃圾分类收集与日产日清，并针对大型活动、恶劣天气等特殊情形制定专项保洁保障措施。</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8</w:t>
      </w:r>
      <w:r>
        <w:rPr>
          <w:rFonts w:hint="eastAsia"/>
          <w:b/>
          <w:color w:val="000000"/>
          <w:sz w:val="24"/>
          <w:szCs w:val="24"/>
          <w:highlight w:val="none"/>
        </w:rPr>
        <w:t xml:space="preserve">.楼宇综合管理服务方案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教学楼、行政楼、实训楼、艺体中心等不同楼宇的功能特点，制定差异化的楼宇综合管理服务方案，包括门禁管控、秩序维护、结构巡查、设施巡检、消防安全检查等内容。方案应明确各楼宇的开放关闭管理、外来人员登记、课后清场巡查等具体要求，建立日常巡检台账与问题整改闭环机制，确保楼宇使用安全、秩序规范、环境整洁。</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9</w:t>
      </w:r>
      <w:r>
        <w:rPr>
          <w:rFonts w:hint="eastAsia"/>
          <w:b/>
          <w:color w:val="000000"/>
          <w:sz w:val="24"/>
          <w:szCs w:val="24"/>
          <w:highlight w:val="none"/>
        </w:rPr>
        <w:t xml:space="preserve">.绿化养护服务方案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依据江苏省城市园林绿化一级养护标准，结合茅山校区气候与植物生长特性，制定涵盖乔灌花草、草坪地被、水体及古树名木的全年绿化养护服务方案。方案须细化浇水、施肥、修剪、病虫害防治、除草松土、补植及绿化垃圾清运等各项作业的频次与时点，明确四季养护重点及杨柳絮防治、树木防寒等专项措施，保障校园绿化景观优美、生态良好。</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10</w:t>
      </w:r>
      <w:r>
        <w:rPr>
          <w:rFonts w:hint="eastAsia"/>
          <w:b/>
          <w:color w:val="000000"/>
          <w:sz w:val="24"/>
          <w:szCs w:val="24"/>
          <w:highlight w:val="none"/>
        </w:rPr>
        <w:t xml:space="preserve">.小型维修服务方案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校区日常维修需求，制定响应迅速、流程规范的小型维修服务方案，明确报修受理、派工维修、现场验收、回访评价的闭环管理流程。方案须落实5分钟到场、2小时修复的时效承诺，明确维修人员持证上岗与安全作业要求，建立常用耗材常备库存与领用登记制度，并对300元以内耗材的自行采购标准及300元以上耗材的上报配合流程作出具体规定。</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11</w:t>
      </w:r>
      <w:r>
        <w:rPr>
          <w:rFonts w:hint="eastAsia"/>
          <w:b/>
          <w:color w:val="000000"/>
          <w:sz w:val="24"/>
          <w:szCs w:val="24"/>
          <w:highlight w:val="none"/>
        </w:rPr>
        <w:t xml:space="preserve">.水电系统维护方案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围绕校区全域供电供水保障，制定涵盖日常巡检、设施维保、抄表管理、节能指导、隐患排查等内容的水电系统维护方案。方案须明确高低压配电线路、供水管网、水泵房等重点设施的巡检频次与维护标准，建立设施运行台账与能耗统计档案，落实24小时应急值守机制，保障教学、生活水电供应安全稳定。</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12</w:t>
      </w:r>
      <w:r>
        <w:rPr>
          <w:rFonts w:hint="eastAsia"/>
          <w:b/>
          <w:color w:val="000000"/>
          <w:sz w:val="24"/>
          <w:szCs w:val="24"/>
          <w:highlight w:val="none"/>
        </w:rPr>
        <w:t xml:space="preserve">.配电房/开闭所专项运行维护服务方案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针对核心供电设施，制定专项运行维护服务方案，明确配电房及开闭所24小时专人值班、设备巡视、运行记录、安全操作等具体要求。方案须包含高低压柜、变压器、继电保护等设备的定期检查与预防性试验计划，落实绝缘工具检测、防鼠防潮措施及安全警示标识设置，建立故障抢修与突发停电应急预案，确保核心供电系统安全可靠运行。</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1</w:t>
      </w:r>
      <w:r>
        <w:rPr>
          <w:b/>
          <w:color w:val="000000"/>
          <w:sz w:val="24"/>
          <w:szCs w:val="24"/>
          <w:highlight w:val="none"/>
        </w:rPr>
        <w:t xml:space="preserve">3</w:t>
      </w:r>
      <w:r>
        <w:rPr>
          <w:rFonts w:hint="eastAsia"/>
          <w:b/>
          <w:color w:val="000000"/>
          <w:sz w:val="24"/>
          <w:szCs w:val="24"/>
          <w:highlight w:val="none"/>
        </w:rPr>
        <w:t xml:space="preserve">.应急处理预案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坚持“预防为主、生命至上”原则，制定覆盖消防、水电故障、恶劣天气、治安事件、公共卫生等各类突发情况的应急处理预案。预案须明确应急组织架构、响应流程、处置措施、物资储备及外部联动机制，落实3-5分钟到场处置的时效要求，建立常态化隐患排查与应急演练机制，确保突发事件响应迅速、处置得当、保障有力。</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1</w:t>
      </w:r>
      <w:r>
        <w:rPr>
          <w:b/>
          <w:color w:val="000000"/>
          <w:sz w:val="24"/>
          <w:szCs w:val="24"/>
          <w:highlight w:val="none"/>
        </w:rPr>
        <w:t xml:space="preserve">4</w:t>
      </w:r>
      <w:r>
        <w:rPr>
          <w:rFonts w:hint="eastAsia"/>
          <w:b/>
          <w:color w:val="000000"/>
          <w:sz w:val="24"/>
          <w:szCs w:val="24"/>
          <w:highlight w:val="none"/>
        </w:rPr>
        <w:t xml:space="preserve">.进退场交接方案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制定规范严谨的进退场交接方案，明确交接程序、内容标准、时间节点及责任主体。进场交接须包括设施设备清点、钥匙资料移交、运行状态确认、遗留问题记录等环节；退场交接须确保各项资料完整归档、设施设备完好移交、未完成事项清晰说明。方案应保障交接工作平稳有序、无缝衔接，不影响校区正常物业服务秩序。</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1</w:t>
      </w:r>
      <w:r>
        <w:rPr>
          <w:b/>
          <w:color w:val="000000"/>
          <w:sz w:val="24"/>
          <w:szCs w:val="24"/>
          <w:highlight w:val="none"/>
        </w:rPr>
        <w:t xml:space="preserve">5</w:t>
      </w:r>
      <w:r>
        <w:rPr>
          <w:rFonts w:hint="eastAsia"/>
          <w:b/>
          <w:color w:val="000000"/>
          <w:sz w:val="24"/>
          <w:szCs w:val="24"/>
          <w:highlight w:val="none"/>
        </w:rPr>
        <w:t xml:space="preserve">.接收人员安置及人员稳定性方案</w:t>
      </w:r>
      <w:r>
        <w:rPr>
          <w:rFonts w:hint="eastAsia"/>
          <w:b/>
          <w:color w:val="000000"/>
          <w:sz w:val="24"/>
          <w:szCs w:val="24"/>
          <w:highlight w:val="none"/>
        </w:rPr>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供应商应对江苏茗苑农业科技有限公司现聘用在茅山校区的</w:t>
      </w:r>
      <w:r>
        <w:rPr>
          <w:rFonts w:ascii="Calibri" w:hAnsi="Calibri" w:eastAsia="Calibri" w:cs="Calibri"/>
          <w:color w:val="000000"/>
          <w:sz w:val="24"/>
          <w:highlight w:val="none"/>
        </w:rPr>
        <w:t xml:space="preserve">14</w:t>
      </w:r>
      <w:r>
        <w:rPr>
          <w:rFonts w:ascii="SimSun" w:hAnsi="SimSun" w:eastAsia="SimSun" w:cs="SimSun"/>
          <w:color w:val="000000"/>
          <w:sz w:val="24"/>
          <w:highlight w:val="none"/>
        </w:rPr>
        <w:t xml:space="preserve">名工作人员在同等条件下作出优先安排，制定包含岗位匹配、待遇保障、合同签订、思想引导、技能衔接等内容的人员接收与稳定性方案。</w:t>
      </w:r>
      <w:r>
        <w:rPr>
          <w:rFonts w:ascii="SimSun" w:hAnsi="SimSun" w:eastAsia="SimSun" w:cs="SimSun"/>
          <w:color w:val="000000"/>
          <w:sz w:val="24"/>
        </w:rPr>
        <w:t xml:space="preserve">方案须体现人文关怀与平稳过渡原则，明确新老员工融合管理措施、职业培训计划及薪酬激励办法，确保人员队伍稳定、工作顺利交接、服务质量持续提升。</w:t>
      </w:r>
      <w:r>
        <w:rPr>
          <w:rFonts w:ascii="Calibri" w:hAnsi="Calibri" w:eastAsia="Calibri" w:cs="Calibri"/>
          <w:sz w:val="21"/>
        </w:rPr>
      </w:r>
      <w:r/>
    </w:p>
    <w:p>
      <w:pPr>
        <w:pStyle w:val="958"/>
        <w:ind w:firstLine="482"/>
        <w:jc w:val="left"/>
        <w:spacing w:line="44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16.特色服务方案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供应商应在全面响应基础物业服务要求的前提下，立足茅山校区育人环境建设与师生多元化需求，主动提供校园后勤服务设施设备优化、校园增亮改造、校园美化提升、学生就业岗位</w:t>
      </w:r>
      <w:r>
        <w:rPr>
          <w:bCs/>
          <w:color w:val="000000"/>
          <w:sz w:val="24"/>
          <w:szCs w:val="24"/>
          <w:highlight w:val="none"/>
        </w:rPr>
        <w:t xml:space="preserve">推荐、校园文化建设支持等特色服务。具体内容包括：结合设施设备运行情况提出节能改造与设施优化建议，提升后勤保障效能；对校园照明薄弱区域进行增亮改造，保障夜间出行安全；利用绿化养护专业优势协助开展景观节点打造、花卉造型布置等环境美化提升工作；依托企业资源为校区学生提供实习岗位或就业信息推荐，助力学生成长发展；积极配合校区开展文化墙布置、主题活动氛围营造等文化建设支持工作。供应商须针对上述服务内容提供书面承诺书，明确服务承诺事项与落实机制，以实际举措彰显物业服务的附加值与社会责任感，提升师生获得感与校园品质形象。</w:t>
      </w:r>
      <w:r>
        <w:rPr>
          <w:highlight w:val="none"/>
        </w:rPr>
      </w:r>
      <w:r/>
    </w:p>
    <w:p>
      <w:pPr>
        <w:pStyle w:val="961"/>
        <w:ind w:firstLine="422"/>
        <w:spacing w:before="0" w:after="0" w:line="440" w:lineRule="exact"/>
        <w:rPr>
          <w:rFonts w:hint="eastAsia"/>
          <w:color w:val="000000"/>
          <w:sz w:val="24"/>
          <w:szCs w:val="24"/>
          <w:highlight w:val="none"/>
        </w:rPr>
      </w:pPr>
      <w:r>
        <w:rPr>
          <w:rFonts w:hint="eastAsia"/>
          <w:color w:val="000000"/>
          <w:sz w:val="24"/>
          <w:szCs w:val="24"/>
          <w:highlight w:val="none"/>
        </w:rPr>
        <w:t xml:space="preserve">二、物业委托服务范围及要求</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（一）公共设施管理服务</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1.服务范围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涵盖校区各类公共设施设备，包括但不限于：</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校区公共基础设施：交通与场地</w:t>
      </w:r>
      <w:r>
        <w:rPr>
          <w:rFonts w:hint="eastAsia" w:ascii="宋体" w:hAnsi="宋体" w:cs="宋体"/>
          <w:b/>
          <w:color w:val="000000"/>
          <w:sz w:val="24"/>
          <w:szCs w:val="24"/>
          <w:highlight w:val="none"/>
        </w:rPr>
        <w:t xml:space="preserve">：</w:t>
      </w:r>
      <w:r>
        <w:rPr>
          <w:rFonts w:ascii="宋体" w:hAnsi="宋体" w:cs="宋体"/>
          <w:color w:val="000000"/>
          <w:sz w:val="24"/>
          <w:szCs w:val="24"/>
          <w:highlight w:val="none"/>
        </w:rPr>
        <w:t xml:space="preserve">校区主干道、支路、停车场、篮球场、田径场、广场及配套看台、无障碍通道等；</w:t>
      </w:r>
      <w:r>
        <w:rPr>
          <w:rFonts w:ascii="宋体" w:hAnsi="宋体" w:cs="宋体"/>
          <w:b/>
          <w:color w:val="000000"/>
          <w:sz w:val="24"/>
          <w:szCs w:val="24"/>
          <w:highlight w:val="none"/>
        </w:rPr>
        <w:t xml:space="preserve">管网系统：</w:t>
      </w:r>
      <w:r>
        <w:rPr>
          <w:rFonts w:ascii="宋体" w:hAnsi="宋体" w:cs="宋体"/>
          <w:color w:val="000000"/>
          <w:sz w:val="24"/>
          <w:szCs w:val="24"/>
          <w:highlight w:val="none"/>
        </w:rPr>
        <w:t xml:space="preserve">供水、污水、雨水管网、化粪池、排水明沟暗沟等；</w:t>
      </w:r>
      <w:r>
        <w:rPr>
          <w:rFonts w:ascii="宋体" w:hAnsi="宋体" w:cs="宋体"/>
          <w:b/>
          <w:color w:val="000000"/>
          <w:sz w:val="24"/>
          <w:szCs w:val="24"/>
          <w:highlight w:val="none"/>
        </w:rPr>
        <w:t xml:space="preserve">照明设施：</w:t>
      </w:r>
      <w:r>
        <w:rPr>
          <w:rFonts w:ascii="宋体" w:hAnsi="宋体" w:cs="宋体"/>
          <w:color w:val="000000"/>
          <w:sz w:val="24"/>
          <w:szCs w:val="24"/>
          <w:highlight w:val="none"/>
        </w:rPr>
        <w:t xml:space="preserve">路灯、楼道灯、应急照明、操场照明等；</w:t>
      </w:r>
      <w:r>
        <w:rPr>
          <w:rFonts w:ascii="宋体" w:hAnsi="宋体" w:cs="宋体"/>
          <w:b/>
          <w:color w:val="000000"/>
          <w:sz w:val="24"/>
          <w:szCs w:val="24"/>
          <w:highlight w:val="none"/>
        </w:rPr>
        <w:t xml:space="preserve">基础配套：</w:t>
      </w:r>
      <w:r>
        <w:rPr>
          <w:rFonts w:ascii="宋体" w:hAnsi="宋体" w:cs="宋体"/>
          <w:color w:val="000000"/>
          <w:sz w:val="24"/>
          <w:szCs w:val="24"/>
          <w:highlight w:val="none"/>
        </w:rPr>
        <w:t xml:space="preserve">校区大门、道闸、岗亭、公告栏、公共座椅、垃圾桶、垃圾站、开水炉等；</w:t>
      </w:r>
      <w:r>
        <w:rPr>
          <w:rFonts w:ascii="宋体" w:hAnsi="宋体" w:cs="宋体"/>
          <w:b/>
          <w:color w:val="000000"/>
          <w:sz w:val="24"/>
          <w:szCs w:val="24"/>
          <w:highlight w:val="none"/>
        </w:rPr>
        <w:t xml:space="preserve">教学楼、报告厅、行政楼、图书信息中心、文创园、实境课堂、心理咨询中心、艺体中心等核心设施及配套：</w:t>
      </w:r>
      <w:r>
        <w:rPr>
          <w:rFonts w:ascii="宋体" w:hAnsi="宋体" w:cs="宋体"/>
          <w:color w:val="000000"/>
          <w:sz w:val="24"/>
          <w:szCs w:val="24"/>
          <w:highlight w:val="none"/>
        </w:rPr>
        <w:t xml:space="preserve">课桌椅、黑板、白板、多媒体设备、讲台、空调、风扇、照明开关插座等；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宿舍设施及配套：个人配套：</w:t>
      </w:r>
      <w:r>
        <w:rPr>
          <w:rFonts w:ascii="宋体" w:hAnsi="宋体" w:cs="宋体"/>
          <w:color w:val="000000"/>
          <w:sz w:val="24"/>
          <w:szCs w:val="24"/>
          <w:highlight w:val="none"/>
        </w:rPr>
        <w:t xml:space="preserve">床铺、衣柜、书桌、椅子等；</w:t>
      </w:r>
      <w:r>
        <w:rPr>
          <w:rFonts w:ascii="宋体" w:hAnsi="宋体" w:cs="宋体"/>
          <w:b/>
          <w:color w:val="000000"/>
          <w:sz w:val="24"/>
          <w:szCs w:val="24"/>
          <w:highlight w:val="none"/>
        </w:rPr>
        <w:t xml:space="preserve">生活设施：</w:t>
      </w:r>
      <w:r>
        <w:rPr>
          <w:rFonts w:ascii="宋体" w:hAnsi="宋体" w:cs="宋体"/>
          <w:color w:val="000000"/>
          <w:sz w:val="24"/>
          <w:szCs w:val="24"/>
          <w:highlight w:val="none"/>
        </w:rPr>
        <w:t xml:space="preserve">门/锁、窗户/纱窗、卫浴洁具、地漏等；</w:t>
      </w:r>
      <w:r>
        <w:rPr>
          <w:rFonts w:ascii="宋体" w:hAnsi="宋体" w:cs="宋体"/>
          <w:b/>
          <w:color w:val="000000"/>
          <w:sz w:val="24"/>
          <w:szCs w:val="24"/>
          <w:highlight w:val="none"/>
        </w:rPr>
        <w:t xml:space="preserve">公用配套：</w:t>
      </w:r>
      <w:r>
        <w:rPr>
          <w:rFonts w:ascii="宋体" w:hAnsi="宋体" w:cs="宋体"/>
          <w:color w:val="000000"/>
          <w:sz w:val="24"/>
          <w:szCs w:val="24"/>
          <w:highlight w:val="none"/>
        </w:rPr>
        <w:t xml:space="preserve">空调、楼道扶手、晾衣架等；</w:t>
      </w:r>
      <w:r>
        <w:rPr>
          <w:rFonts w:ascii="宋体" w:hAnsi="宋体" w:cs="宋体"/>
          <w:b/>
          <w:color w:val="000000"/>
          <w:sz w:val="24"/>
          <w:szCs w:val="24"/>
          <w:highlight w:val="none"/>
        </w:rPr>
        <w:t xml:space="preserve">水电设施：</w:t>
      </w:r>
      <w:r>
        <w:rPr>
          <w:rFonts w:ascii="宋体" w:hAnsi="宋体" w:cs="宋体"/>
          <w:color w:val="000000"/>
          <w:sz w:val="24"/>
          <w:szCs w:val="24"/>
          <w:highlight w:val="none"/>
        </w:rPr>
        <w:t xml:space="preserve">配电箱、室内开关插座、阳台水龙头等；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安防消防设施</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安防系统：</w:t>
      </w:r>
      <w:r>
        <w:rPr>
          <w:rFonts w:ascii="宋体" w:hAnsi="宋体" w:cs="宋体"/>
          <w:color w:val="000000"/>
          <w:sz w:val="24"/>
          <w:szCs w:val="24"/>
          <w:highlight w:val="none"/>
        </w:rPr>
        <w:t xml:space="preserve">监控摄像头、安防报警装置等；</w:t>
      </w:r>
      <w:r>
        <w:rPr>
          <w:rFonts w:ascii="宋体" w:hAnsi="宋体" w:cs="宋体"/>
          <w:b/>
          <w:color w:val="000000"/>
          <w:sz w:val="24"/>
          <w:szCs w:val="24"/>
          <w:highlight w:val="none"/>
        </w:rPr>
        <w:t xml:space="preserve">消防设施：</w:t>
      </w:r>
      <w:r>
        <w:rPr>
          <w:rFonts w:ascii="宋体" w:hAnsi="宋体" w:cs="宋体"/>
          <w:color w:val="000000"/>
          <w:sz w:val="24"/>
          <w:szCs w:val="24"/>
          <w:highlight w:val="none"/>
        </w:rPr>
        <w:t xml:space="preserve">灭火器、消防栓、防火门、消防通道、疏散指示牌、消防应急广播等；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后勤保障配套设施：</w:t>
      </w:r>
      <w:r>
        <w:rPr>
          <w:rFonts w:ascii="宋体" w:hAnsi="宋体" w:cs="宋体"/>
          <w:color w:val="000000"/>
          <w:sz w:val="24"/>
          <w:szCs w:val="24"/>
          <w:highlight w:val="none"/>
        </w:rPr>
        <w:t xml:space="preserve">维修工具间、临时物资存放间、耗材储物间等；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绿化和环卫设施：绿化配套：</w:t>
      </w:r>
      <w:r>
        <w:rPr>
          <w:rFonts w:ascii="宋体" w:hAnsi="宋体" w:cs="宋体"/>
          <w:color w:val="000000"/>
          <w:sz w:val="24"/>
          <w:szCs w:val="24"/>
          <w:highlight w:val="none"/>
        </w:rPr>
        <w:t xml:space="preserve">绿化灌溉系统、绿植防护栏等；</w:t>
      </w:r>
      <w:r>
        <w:rPr>
          <w:rFonts w:ascii="宋体" w:hAnsi="宋体" w:cs="宋体"/>
          <w:b/>
          <w:color w:val="000000"/>
          <w:sz w:val="24"/>
          <w:szCs w:val="24"/>
          <w:highlight w:val="none"/>
        </w:rPr>
        <w:t xml:space="preserve">环卫配套：</w:t>
      </w:r>
      <w:r>
        <w:rPr>
          <w:rFonts w:ascii="宋体" w:hAnsi="宋体" w:cs="宋体"/>
          <w:color w:val="000000"/>
          <w:sz w:val="24"/>
          <w:szCs w:val="24"/>
          <w:highlight w:val="none"/>
        </w:rPr>
        <w:t xml:space="preserve">垃圾房及垃圾桶、保洁工具存放处、消杀设备等；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核心供电设施：</w:t>
      </w:r>
      <w:r>
        <w:rPr>
          <w:rFonts w:ascii="宋体" w:hAnsi="宋体" w:cs="宋体"/>
          <w:color w:val="000000"/>
          <w:sz w:val="24"/>
          <w:szCs w:val="24"/>
          <w:highlight w:val="none"/>
        </w:rPr>
        <w:t xml:space="preserve">开闭所、强弱电间等。</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2.服务要求</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1）制定完善的设施设备管理制度及重大故障应急处置预案，定期组织业务培训与实操演练；重大节假日及恶劣天气前后，开展设施设备系统巡检；设施设备出现一般故障即时处理，重大故障立即处置并同步向学校提交书面报告，做好维修全过程监管。</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（2）严格执行学校报修流程，建立规范的报修制度与报修档案，报修响应时间不超过5分钟，故障需在2小时内解决，保障师生正常的学习与生活秩序。</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（3）负责各类设施设备的日常使用、管理、巡查与值守工作，确保设备机房门窗、锁具完好有效；按照设备技术规范开展巡视检查，并做好详细记录。</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（4）完成固定资产的盘点统计与管理工作，落实设施设备日常维护保养措施，确保各类设施设备完好、整洁、无污损。</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（5）定期对水电设施等公用设施进行检查并留存记录，协助学校开展节电节水工作。</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（6）保障公共财物齐全、无损坏，对公共部位的照明和应急灯具实施每日巡查，确保其完好无损、正常使用。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（7）对维修人员的维修质量、服务态度进行检查、监督与考核，对维修材料的品牌、数量进行严格检查确认。</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（8）完成规定范围内的其他公共设施管理相关工作。</w:t>
      </w:r>
      <w:r>
        <w:rPr>
          <w:highlight w:val="none"/>
        </w:rPr>
      </w:r>
      <w:r/>
    </w:p>
    <w:p>
      <w:pPr>
        <w:pStyle w:val="958"/>
        <w:jc w:val="left"/>
        <w:spacing w:line="435" w:lineRule="exact"/>
        <w:rPr>
          <w:b/>
          <w:bCs/>
          <w:color w:val="000000"/>
          <w:sz w:val="24"/>
          <w:szCs w:val="24"/>
          <w:highlight w:val="none"/>
        </w:rPr>
      </w:pPr>
      <w:r>
        <w:rPr>
          <w:rFonts w:ascii="宋体" w:hAnsi="宋体" w:cs="宋体"/>
          <w:b/>
          <w:bCs/>
          <w:color w:val="000000"/>
          <w:sz w:val="24"/>
          <w:szCs w:val="24"/>
          <w:highlight w:val="none"/>
        </w:rPr>
        <w:t xml:space="preserve">（二）小型维修服务</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1.服务范围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维修服务范围包括但不限于：</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公共区域小型维修：照明类：</w:t>
      </w:r>
      <w:r>
        <w:rPr>
          <w:rFonts w:ascii="宋体" w:hAnsi="宋体" w:cs="宋体"/>
          <w:color w:val="000000"/>
          <w:sz w:val="24"/>
          <w:szCs w:val="24"/>
          <w:highlight w:val="none"/>
        </w:rPr>
        <w:t xml:space="preserve">灯类更换，小范围线路接触不良修复、应急指示灯/疏散标识更换等；</w:t>
      </w:r>
      <w:r>
        <w:rPr>
          <w:rFonts w:ascii="宋体" w:hAnsi="宋体" w:cs="宋体"/>
          <w:b/>
          <w:color w:val="000000"/>
          <w:sz w:val="24"/>
          <w:szCs w:val="24"/>
          <w:highlight w:val="none"/>
        </w:rPr>
        <w:t xml:space="preserve">门窗五金：</w:t>
      </w:r>
      <w:r>
        <w:rPr>
          <w:rFonts w:ascii="宋体" w:hAnsi="宋体" w:cs="宋体"/>
          <w:color w:val="000000"/>
          <w:sz w:val="24"/>
          <w:szCs w:val="24"/>
          <w:highlight w:val="none"/>
        </w:rPr>
        <w:t xml:space="preserve">门窗合页、把手、门锁、限位器更换，纱窗破损修复，门窗闭合不严问题调整等；</w:t>
      </w:r>
      <w:r>
        <w:rPr>
          <w:rFonts w:ascii="宋体" w:hAnsi="宋体" w:cs="宋体"/>
          <w:b/>
          <w:color w:val="000000"/>
          <w:sz w:val="24"/>
          <w:szCs w:val="24"/>
          <w:highlight w:val="none"/>
        </w:rPr>
        <w:t xml:space="preserve">土建小修：</w:t>
      </w:r>
      <w:r>
        <w:rPr>
          <w:rFonts w:ascii="宋体" w:hAnsi="宋体" w:cs="宋体"/>
          <w:color w:val="000000"/>
          <w:sz w:val="24"/>
          <w:szCs w:val="24"/>
          <w:highlight w:val="none"/>
        </w:rPr>
        <w:t xml:space="preserve">小面积墙面污损粉刷，地砖、踢脚线、道板砖、台阶、井盖维修或更换等；</w:t>
      </w:r>
      <w:r>
        <w:rPr>
          <w:rFonts w:ascii="宋体" w:hAnsi="宋体" w:cs="宋体"/>
          <w:b/>
          <w:color w:val="000000"/>
          <w:sz w:val="24"/>
          <w:szCs w:val="24"/>
          <w:highlight w:val="none"/>
        </w:rPr>
        <w:t xml:space="preserve">设备房：</w:t>
      </w:r>
      <w:r>
        <w:rPr>
          <w:rFonts w:ascii="宋体" w:hAnsi="宋体" w:cs="宋体"/>
          <w:color w:val="000000"/>
          <w:sz w:val="24"/>
          <w:szCs w:val="24"/>
          <w:highlight w:val="none"/>
        </w:rPr>
        <w:t xml:space="preserve">强/弱电间、开闭所等各类元器件维修等；</w:t>
      </w:r>
      <w:r>
        <w:rPr>
          <w:rFonts w:ascii="宋体" w:hAnsi="宋体" w:cs="宋体"/>
          <w:b/>
          <w:color w:val="000000"/>
          <w:sz w:val="24"/>
          <w:szCs w:val="24"/>
          <w:highlight w:val="none"/>
        </w:rPr>
        <w:t xml:space="preserve">其他类：</w:t>
      </w:r>
      <w:r>
        <w:rPr>
          <w:rFonts w:ascii="宋体" w:hAnsi="宋体" w:cs="宋体"/>
          <w:color w:val="000000"/>
          <w:sz w:val="24"/>
          <w:szCs w:val="24"/>
          <w:highlight w:val="none"/>
        </w:rPr>
        <w:t xml:space="preserve">小范围排水/地漏疏通、公共座椅/公告栏松动修复、垃圾桶配件更换、卫生间隔断、体育设施等；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教学和实训区域小型维修：</w:t>
      </w:r>
      <w:r>
        <w:rPr>
          <w:rFonts w:ascii="宋体" w:hAnsi="宋体" w:cs="宋体"/>
          <w:color w:val="000000"/>
          <w:sz w:val="24"/>
          <w:szCs w:val="24"/>
          <w:highlight w:val="none"/>
        </w:rPr>
        <w:t xml:space="preserve">紧固松动课桌椅/讲台/实训台、更换黑板擦/白板笔槽、配合做好多媒体设备基础故障修复、更换教室插座、调试空调、滤网清洁、风扇维修更换及清洗等；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学生宿舍小型维修：生活设施：</w:t>
      </w:r>
      <w:r>
        <w:rPr>
          <w:rFonts w:ascii="宋体" w:hAnsi="宋体" w:cs="宋体"/>
          <w:color w:val="000000"/>
          <w:sz w:val="24"/>
          <w:szCs w:val="24"/>
          <w:highlight w:val="none"/>
        </w:rPr>
        <w:t xml:space="preserve">紧固更换床铺螺丝，修复衣柜拉手、抽屉滑轨，更换宿舍门锁、门吸，调整门窗缝隙等；</w:t>
      </w:r>
      <w:r>
        <w:rPr>
          <w:rFonts w:ascii="宋体" w:hAnsi="宋体" w:cs="宋体"/>
          <w:b/>
          <w:color w:val="000000"/>
          <w:sz w:val="24"/>
          <w:szCs w:val="24"/>
          <w:highlight w:val="none"/>
        </w:rPr>
        <w:t xml:space="preserve">水电卫浴：</w:t>
      </w:r>
      <w:r>
        <w:rPr>
          <w:rFonts w:ascii="宋体" w:hAnsi="宋体" w:cs="宋体"/>
          <w:color w:val="000000"/>
          <w:sz w:val="24"/>
          <w:szCs w:val="24"/>
          <w:highlight w:val="none"/>
        </w:rPr>
        <w:t xml:space="preserve">更换水龙头、角阀，疏通宿舍地漏、洗手池、马桶，更换卫浴软管，修复宿舍插座、开关，更换灯泡、灯管，调试空调，滤网清洁，风扇维修更换及清洗等；</w:t>
      </w:r>
      <w:r>
        <w:rPr>
          <w:rFonts w:ascii="宋体" w:hAnsi="宋体" w:cs="宋体"/>
          <w:b/>
          <w:color w:val="000000"/>
          <w:sz w:val="24"/>
          <w:szCs w:val="24"/>
          <w:highlight w:val="none"/>
        </w:rPr>
        <w:t xml:space="preserve">公用配套：</w:t>
      </w:r>
      <w:r>
        <w:rPr>
          <w:rFonts w:ascii="宋体" w:hAnsi="宋体" w:cs="宋体"/>
          <w:color w:val="000000"/>
          <w:sz w:val="24"/>
          <w:szCs w:val="24"/>
          <w:highlight w:val="none"/>
        </w:rPr>
        <w:t xml:space="preserve">修复公共晾衣架松动等；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后勤及配套区域小型维修：家具：</w:t>
      </w:r>
      <w:r>
        <w:rPr>
          <w:rFonts w:ascii="宋体" w:hAnsi="宋体" w:cs="宋体"/>
          <w:color w:val="000000"/>
          <w:sz w:val="24"/>
          <w:szCs w:val="24"/>
          <w:highlight w:val="none"/>
        </w:rPr>
        <w:t xml:space="preserve">办公室、教工宿舍、会议室等场所的办公桌、床铺、衣柜、餐桌、座椅等维修等；</w:t>
      </w:r>
      <w:r>
        <w:rPr>
          <w:rFonts w:ascii="宋体" w:hAnsi="宋体" w:cs="宋体"/>
          <w:b/>
          <w:color w:val="000000"/>
          <w:sz w:val="24"/>
          <w:szCs w:val="24"/>
          <w:highlight w:val="none"/>
        </w:rPr>
        <w:t xml:space="preserve">便民设施：</w:t>
      </w:r>
      <w:r>
        <w:rPr>
          <w:rFonts w:ascii="宋体" w:hAnsi="宋体" w:cs="宋体"/>
          <w:color w:val="000000"/>
          <w:sz w:val="24"/>
          <w:szCs w:val="24"/>
          <w:highlight w:val="none"/>
        </w:rPr>
        <w:t xml:space="preserve">电瓶车及汽车充电桩维修等。</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2.服务要求：</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（1）对采购人委托管理场所的室内、室外区域开展小型维修作业，做好维修记录，确保各类设施设备正常使用。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（2）接到报修电话后，紧急小型维修需5分钟内到场，2小时内完成维修作业。</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（3）维修人员必须持证上岗，带电、涉水作业时严格做好安全防护措施，所有维修服务不得影响正常的教学实训活动。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（4）对螺丝、灯泡、水龙头等常用耗材建立常备库存，保障快速取用，并做好耗材领用登记工作。</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（5）遇非规定维修范围内的故障等特殊情况，及时与校方对接，做好解释说明，并协助校方开展相关维修工作。</w:t>
      </w:r>
      <w:r>
        <w:rPr>
          <w:highlight w:val="none"/>
        </w:rPr>
      </w:r>
      <w:r/>
    </w:p>
    <w:p>
      <w:pPr>
        <w:pStyle w:val="958"/>
        <w:ind w:firstLine="480"/>
        <w:jc w:val="left"/>
        <w:spacing w:line="435" w:lineRule="exact"/>
        <w:rPr>
          <w:bCs/>
          <w:iCs/>
          <w:color w:val="000000"/>
          <w:sz w:val="24"/>
          <w:szCs w:val="24"/>
          <w:highlight w:val="none"/>
        </w:rPr>
      </w:pPr>
      <w:r>
        <w:rPr>
          <w:rFonts w:ascii="宋体" w:hAnsi="宋体" w:cs="宋体"/>
          <w:bCs/>
          <w:iCs/>
          <w:color w:val="000000"/>
          <w:sz w:val="24"/>
          <w:szCs w:val="24"/>
          <w:highlight w:val="none"/>
        </w:rPr>
        <w:t xml:space="preserve">（6）单项、单次维修耗材及零配件费用在300元以内（含300元）的，由中标人自行采购符合国家标准的耗材并完成维修。单项、单次维修耗材及零配件费用在300元以上的，中标人需及时上报采购人，由采购人统一采购耗材，中标人负责维修作业；维修与报修工作均需建立台账，实现项目全流程跟进。</w:t>
      </w:r>
      <w:r>
        <w:rPr>
          <w:rFonts w:hint="eastAsia" w:ascii="宋体" w:hAnsi="宋体" w:cs="宋体"/>
          <w:bCs/>
          <w:iCs/>
          <w:color w:val="000000"/>
          <w:sz w:val="24"/>
          <w:szCs w:val="24"/>
          <w:highlight w:val="none"/>
        </w:rPr>
        <w:t xml:space="preserve">2023年至2025年该项年均产生费用约10万元。</w:t>
      </w:r>
      <w:r>
        <w:rPr>
          <w:highlight w:val="none"/>
        </w:rPr>
      </w:r>
      <w:r/>
    </w:p>
    <w:p>
      <w:pPr>
        <w:pStyle w:val="958"/>
        <w:ind w:firstLine="360"/>
        <w:jc w:val="left"/>
        <w:spacing w:line="435" w:lineRule="exact"/>
        <w:rPr>
          <w:color w:val="000000"/>
          <w:sz w:val="24"/>
          <w:szCs w:val="24"/>
          <w:highlight w:val="none"/>
        </w:rPr>
      </w:pPr>
      <w:r>
        <w:rPr>
          <w:rFonts w:ascii="宋体" w:hAnsi="宋体" w:cs="宋体"/>
          <w:color w:val="000000"/>
          <w:sz w:val="24"/>
          <w:szCs w:val="24"/>
          <w:highlight w:val="none"/>
        </w:rPr>
        <w:t xml:space="preserve">（7）对委托管理区域的设施设备开展日常巡视、检查并做好记录，定期向采购人上报设施设备运行情况及优化建议。</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（三）环境卫生管理服务</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1.服务范围：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覆盖校区全域环境卫生保洁，包括但不限于：</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校区公共区域：通行区域：校区主干道、支路、广场、停车场、篮球场、田径场、看台、无障碍通道及周边路面等；楼宇及公共空间：各楼栋楼道、走廊、楼梯、窗台、墙面、地面、公共门窗、楼道扶手等；公共配套区域：校区大门、岗亭、值班室、公告栏、公共座椅、垃圾房/垃圾桶/垃圾集中点、排水沟、雨水井、化粪池及周边、池塘等；公共卫生间：非公寓、非教学区域的独立公共卫生间，含洗手池、便池、地面、墙面、通风设施等；</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教学与实训区域：地面、墙面、课桌椅、黑板/白板、门窗、玻璃、角落卫生及课后垃圾清理，教学楼卫生间、茶水间、楼梯间及周边公共空间；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学生宿舍区域：宿舍公共区域、宿舍外围区域、宿舍内务协同管控；</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食堂周边区域：食堂外围区域、协同管控区域；</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绿化区域：校区绿植覆盖区、绿化配套区域。</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2.服务要求</w:t>
      </w:r>
      <w:r>
        <w:rPr>
          <w:highlight w:val="none"/>
        </w:rPr>
      </w:r>
      <w:r/>
    </w:p>
    <w:p>
      <w:pPr>
        <w:pStyle w:val="958"/>
        <w:jc w:val="left"/>
        <w:spacing w:line="315" w:lineRule="exact"/>
        <w:rPr>
          <w:rFonts w:ascii="宋体" w:hAnsi="宋体" w:cs="宋体"/>
          <w:color w:val="000000"/>
          <w:sz w:val="24"/>
          <w:szCs w:val="24"/>
          <w:highlight w:val="none"/>
        </w:rPr>
      </w:pPr>
      <w:r>
        <w:rPr>
          <w:rFonts w:ascii="宋体" w:hAnsi="宋体" w:cs="宋体"/>
          <w:color w:val="000000"/>
          <w:sz w:val="24"/>
          <w:szCs w:val="24"/>
          <w:highlight w:val="none"/>
        </w:rPr>
        <w:t xml:space="preserve">（1）清洁工作总体标准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8637"/>
      </w:tblGrid>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highlight w:val="none"/>
              </w:rPr>
            </w:r>
            <w:r/>
          </w:p>
        </w:tc>
        <w:tc>
          <w:tcPr>
            <w:tcW w:w="8637"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清洁工作</w:t>
            </w:r>
            <w:r>
              <w:rPr>
                <w:rFonts w:hint="eastAsia" w:ascii="宋体" w:hAnsi="宋体" w:cs="宋体"/>
                <w:color w:val="000000"/>
                <w:sz w:val="24"/>
                <w:szCs w:val="24"/>
                <w:highlight w:val="none"/>
              </w:rPr>
              <w:t xml:space="preserve">总体</w:t>
            </w:r>
            <w:r>
              <w:rPr>
                <w:rFonts w:ascii="宋体" w:hAnsi="宋体" w:cs="宋体"/>
                <w:color w:val="000000"/>
                <w:sz w:val="24"/>
                <w:szCs w:val="24"/>
                <w:highlight w:val="none"/>
              </w:rPr>
              <w:t xml:space="preserve">标准</w:t>
            </w:r>
            <w:r>
              <w:rPr>
                <w:highlight w:val="none"/>
              </w:rPr>
            </w:r>
            <w:r/>
          </w:p>
        </w:tc>
      </w:tr>
      <w:tr>
        <w:trPr>
          <w:trHeight w:val="6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每日对区域内垃圾进行清扫，对地面进行拖拭，每日清洁不少于2次；日常发现污渍、痰渍、垃圾即时处理。</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垃圾篓内垃圾存放量不得超过2/3，保持垃圾篓无虫、无异味；每日更换垃圾袋不少于2次，垃圾运送至指定地点堆放，每周对垃圾篓进行1次彻底清洗，确保无异味、无满溢。</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用鸡毛扫清除墙面灰尘，对室内墙壁边、墙角、天花、风口的蜘蛛网进行彻底清理，每周清洁不少于1次，日常随见随清，局部灰尘、污渍即时处理。</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4</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对排气扇、通风百叶窗、照明设备等进行擦抹除尘，每月清洁不少于2次；日常发现日光灯不亮或损坏即时更换修理，及时清除拆装过程中留下的手印和污迹。</w:t>
            </w:r>
            <w:r>
              <w:rPr>
                <w:highlight w:val="none"/>
              </w:rPr>
            </w:r>
            <w:r/>
          </w:p>
        </w:tc>
      </w:tr>
      <w:tr>
        <w:trPr>
          <w:trHeight w:val="453"/>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5</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每周对电源开关、插座进行清理，擦抹表面污渍和灰尘。</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6</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对教室课桌椅、讲台等教具设施、会议室桌椅每日清洁不少于2次，每周彻底清洁1次，保持座椅无灰尘、无污渍。</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7</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每周对窗户玻璃进行1次彻底清洁，日常发现手印、污渍即时擦净，保持玻璃无手印、无污迹、无灰尘。</w:t>
            </w:r>
            <w:r>
              <w:rPr>
                <w:highlight w:val="none"/>
              </w:rPr>
            </w:r>
            <w:r/>
          </w:p>
        </w:tc>
      </w:tr>
      <w:tr>
        <w:trPr>
          <w:trHeight w:val="433"/>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8</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对木门、不锈钢门、防火门、玻璃门等每周擦抹不少于2次，保持无手印、无污迹。</w:t>
            </w:r>
            <w:r>
              <w:rPr>
                <w:highlight w:val="none"/>
              </w:rPr>
            </w:r>
            <w:r/>
          </w:p>
        </w:tc>
      </w:tr>
      <w:tr>
        <w:trPr>
          <w:trHeight w:val="31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9</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墙面不得随意张贴物品，装饰画每日进行擦拭，保持清洁。</w:t>
            </w:r>
            <w:r>
              <w:rPr>
                <w:highlight w:val="none"/>
              </w:rPr>
            </w:r>
            <w:r/>
          </w:p>
        </w:tc>
      </w:tr>
      <w:tr>
        <w:trPr>
          <w:trHeight w:val="286"/>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10</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运动场馆每日至少打扫1次，使用前及使用后各清扫1次，定期做好通风工作。</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11</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每周对地脚线、卫生死角至少清理1次。</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12</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室内外设施设备保持无尘、无杂物、无污渍，摆放整齐；及时关闭室内、外不必要的照明灯，做好节能工作。</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3</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做好鼠、蝇、蚊、虫、蚁、蜈蚣、蟑螂等病媒生物的预防及消杀工作；按当地爱国卫生运动委员会要求，每季度至少开展1次鼠、蚁专项消杀，日常做好蝇、蚊、虫、蜈蚣、蟑螂等灭杀工作；特殊情况按学校和当地政府有关部门要求即时开展消杀；每周对公共卫生间、公寓、食堂周边、垃圾站等重点区域消杀1次，每月开展1次灭鼠、灭蟑专项行动，卫生间、饮水区等重点区域每日至少消杀1次；传染病高发期、节假日前后加密消杀频次（每3天1次），突发卫生事件即时启动专项消杀；建立完善的消杀台账，明确消杀时间、区域、药剂、执行人，确保可追溯核查。</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4</w:t>
            </w:r>
            <w:r>
              <w:rPr>
                <w:highlight w:val="none"/>
              </w:rPr>
            </w:r>
            <w:r/>
          </w:p>
        </w:tc>
        <w:tc>
          <w:tcPr>
            <w:tcW w:w="8637" w:type="dxa"/>
            <w:vAlign w:val="center"/>
            <w:textDirection w:val="lrTb"/>
            <w:noWrap w:val="false"/>
          </w:tcPr>
          <w:p>
            <w:pPr>
              <w:pStyle w:val="972"/>
              <w:ind w:firstLine="0"/>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校区、楼栋、实训区、公寓按标准设置可回收、厨余、其他、有害分类垃圾桶，标识清晰；生活垃圾实现日产日清，厨余垃圾单独清运，有害垃圾（电池、废弃试剂）定点存放，每月对接合规机构进行清运；配合校方开展垃圾分类宣传，督促师生规范投放垃圾。</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5</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垃圾袋、杀虫剂、消毒液、清洁剂、拖把、扫把等保洁用品用具由中标人自行采购配置。</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6</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完成学校安排的临时性保洁工作；根据采购人临时需求，做好大型会议、赛事、重要接待、施工、洪涝等临时或突发事项的事前、事后保洁工作。</w:t>
            </w:r>
            <w:r>
              <w:rPr>
                <w:highlight w:val="none"/>
              </w:rPr>
            </w:r>
            <w:r/>
          </w:p>
        </w:tc>
      </w:tr>
    </w:tbl>
    <w:p>
      <w:pPr>
        <w:pStyle w:val="963"/>
        <w:rPr>
          <w:b/>
          <w:bCs/>
          <w:color w:val="000000"/>
          <w:highlight w:val="none"/>
        </w:rPr>
      </w:pPr>
      <w:r>
        <w:rPr>
          <w:b/>
          <w:bCs/>
          <w:color w:val="000000"/>
          <w:highlight w:val="none"/>
        </w:rPr>
        <w:t xml:space="preserve">（2）室内清洁工作标准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8640"/>
      </w:tblGrid>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highlight w:val="none"/>
              </w:rPr>
            </w:r>
            <w:r/>
          </w:p>
        </w:tc>
        <w:tc>
          <w:tcPr>
            <w:tcW w:w="8640"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室内</w:t>
            </w:r>
            <w:r>
              <w:rPr>
                <w:rFonts w:ascii="宋体" w:hAnsi="宋体" w:cs="宋体"/>
                <w:color w:val="000000"/>
                <w:sz w:val="24"/>
                <w:szCs w:val="24"/>
                <w:highlight w:val="none"/>
              </w:rPr>
              <w:t xml:space="preserve">清洁工作标准</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W w:w="8640"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对心理咨询中心、艺体中心、会议室、报告厅、自习室、图书信息中心、实境课堂等室内区域，每日清洁地面、座椅、门窗，擦拭扶手、标志牌；活动结束后及时清理垃圾，恢复场地整洁。</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教室管理：课后即时清理垃圾，每日拖拭地面、讲台、踏板、桌椅、黑板，每周清洁门窗玻璃；配合校方督促学生保持座位周边整洁，禁止遗留杂物。</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实训场地管理：重点管控废料与油污，每日清理实训碎屑、耗材废料，分类存放可回收/有害废料；地面油污即时冲洗，实训设备表面每日擦拭除尘；清洁作业避开实训时段，不得影响教学进度，严禁随意丢弃实训危险废料。</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4</w:t>
            </w:r>
            <w:r>
              <w:rPr>
                <w:highlight w:val="none"/>
              </w:rPr>
            </w:r>
            <w:r/>
          </w:p>
        </w:tc>
        <w:tc>
          <w:tcPr>
            <w:tcW w:w="8640"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功能室管理：琴房、画室等专用场地按专属标准开展清洁作业，避免颜料、杂物造成场地污染。</w:t>
            </w:r>
            <w:r>
              <w:rPr>
                <w:highlight w:val="none"/>
              </w:rPr>
            </w:r>
            <w:r/>
          </w:p>
        </w:tc>
      </w:tr>
    </w:tbl>
    <w:p>
      <w:pPr>
        <w:pStyle w:val="963"/>
        <w:rPr>
          <w:b/>
          <w:bCs/>
          <w:color w:val="000000"/>
          <w:highlight w:val="none"/>
        </w:rPr>
      </w:pPr>
      <w:r>
        <w:rPr>
          <w:b/>
          <w:bCs/>
          <w:color w:val="000000"/>
          <w:highlight w:val="none"/>
        </w:rPr>
        <w:t xml:space="preserve">（3）走廊、通道清洁工作标准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8640"/>
      </w:tblGrid>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序号</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走廊、通道</w:t>
            </w:r>
            <w:r>
              <w:rPr>
                <w:rFonts w:ascii="宋体" w:hAnsi="宋体" w:cs="宋体"/>
                <w:color w:val="000000"/>
                <w:sz w:val="24"/>
                <w:szCs w:val="28"/>
                <w:highlight w:val="none"/>
              </w:rPr>
              <w:t xml:space="preserve">清洁工作标准</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所有过道地面每日拖净至少2次，实施循环清扫，保持地面无垃圾、纸屑、烟头、无水渍，日常发现污渍、垃圾即时处理，保持光洁明亮。</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擦净所有玻璃门、窗，发现手印、污渍即时清理干净。</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擦净所有垃圾筒，及时清理垃圾，保持垃圾存放量不超过筒身2/3。</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每日清扫消防通道，擦抹扶手栏杆、地脚线表面灰尘，地面梯阶每日清扫1次，发现痰渍等污物即时清除，每周清洗1次。</w:t>
            </w:r>
            <w:r>
              <w:rPr>
                <w:highlight w:val="none"/>
              </w:rPr>
            </w:r>
            <w:r/>
          </w:p>
        </w:tc>
      </w:tr>
      <w:tr>
        <w:trPr>
          <w:trHeight w:val="46"/>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对所有3米以下大理石、木板、玻璃墙面每周清洁1次。</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6</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所有瓷砖地面每日拖洗至少2次，每周用清洁剂彻底清洗至少1次，保持地面光洁明亮。</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7</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所有通道出口指示灯牌、应急灯每周清洁1次，保持无灰尘、无蛛网，明亮透洁。</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8</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过道天花、墙角、墙面每周清扫1次，日常发现蛛网即时处理。</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9</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所有通道门窗每周擦抹灰尘至少1次。</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10</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及时开关照明灯具，做好节约能耗工作。</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1</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楼道内禁止堆放杂物，公共卫生间定时补充用水及保洁耗材，排水沟每周清理，防止堵塞。</w:t>
            </w:r>
            <w:r>
              <w:rPr>
                <w:highlight w:val="none"/>
              </w:rPr>
            </w:r>
            <w:r/>
          </w:p>
        </w:tc>
      </w:tr>
    </w:tbl>
    <w:p>
      <w:pPr>
        <w:pStyle w:val="963"/>
        <w:rPr>
          <w:b/>
          <w:bCs/>
          <w:color w:val="000000"/>
          <w:highlight w:val="none"/>
        </w:rPr>
      </w:pPr>
      <w:r>
        <w:rPr>
          <w:b/>
          <w:bCs/>
          <w:color w:val="000000"/>
          <w:highlight w:val="none"/>
        </w:rPr>
        <w:t xml:space="preserve">（4）洗手间、盥洗间清洁工作标准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8639"/>
      </w:tblGrid>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序号</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洗手间、盥洗间</w:t>
            </w:r>
            <w:r>
              <w:rPr>
                <w:rFonts w:ascii="宋体" w:hAnsi="宋体" w:cs="宋体"/>
                <w:color w:val="000000"/>
                <w:sz w:val="24"/>
                <w:szCs w:val="28"/>
                <w:highlight w:val="none"/>
              </w:rPr>
              <w:t xml:space="preserve">清洁工作标准</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拖洗所有洗手间地面，擦净洁具、门框、墙身，实施每日循环多次清洁，保持无灰尘、无水渍、无垃圾、无异味。</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镜面、台面、洗手盆每日清洁4次，隔板、纸盒每日擦抹1次，小便池、厕位、水池经常清洁且每日清洗至少1次；每小时巡视1次，保持区域内无污渍、水渍、积水、头发、手印、便迹、异味等。</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每周对墙面瓷砖进行1次全面大清洗，地面用清洁剂刷洗，天花擦净，灯具、风口抹尘，保持干净无污渍；洗手间地面保持无水渍、无积垢；洁具每周用消毒药剂消毒1次，整体卫生间每周全面消毒1次。</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及时清倒垃圾桶垃圾、更换垃圾袋，并运送至指定地点堆放，每日操作多次；地面实施日常循环拖扫，保持干燥、洁净。</w:t>
            </w:r>
            <w:r>
              <w:rPr>
                <w:highlight w:val="none"/>
              </w:rPr>
            </w:r>
            <w:r/>
          </w:p>
        </w:tc>
      </w:tr>
      <w:tr>
        <w:trPr>
          <w:trHeight w:val="46"/>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保持所有下水道畅通，发现堵塞即时处理。</w:t>
            </w:r>
            <w:r>
              <w:rPr>
                <w:highlight w:val="none"/>
              </w:rPr>
            </w:r>
            <w:r/>
          </w:p>
        </w:tc>
      </w:tr>
    </w:tbl>
    <w:p>
      <w:pPr>
        <w:pStyle w:val="963"/>
        <w:rPr>
          <w:b/>
          <w:bCs/>
          <w:color w:val="000000"/>
          <w:highlight w:val="none"/>
        </w:rPr>
      </w:pPr>
      <w:r>
        <w:rPr>
          <w:b/>
          <w:bCs/>
          <w:color w:val="000000"/>
          <w:highlight w:val="none"/>
        </w:rPr>
        <w:t xml:space="preserve">（5）室外环境清洁工作标准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8639"/>
      </w:tblGrid>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序号</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室外环境</w:t>
            </w:r>
            <w:r>
              <w:rPr>
                <w:rFonts w:ascii="宋体" w:hAnsi="宋体" w:cs="宋体"/>
                <w:color w:val="000000"/>
                <w:sz w:val="24"/>
                <w:szCs w:val="28"/>
                <w:highlight w:val="none"/>
              </w:rPr>
              <w:t xml:space="preserve">清洁工作标准</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楼宇、场地周边辅道、停车场每日彻底清洁不少于2次，及时维护；保持地面无杂物、无垃圾堆积、无积水、无积沙、无明显污染。</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垃圾清运每日不少于3次，及时维护；做到无垃圾堆积、无卫生死角；垃圾袋封装后运送至指定地点，运输途中无洒漏。</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明沟每日彻底清洁1次，暗沟每月清洁不少于1次，及时维护；保持水沟内无纸屑、杂物、无积沙、无明显污染，无杂草、树枝，流水通畅，无淤泥堵塞。</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水面每日清洁不少于2次，及时维护；保持水面无白色垃圾、无枯枝等漂浮物。</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露天固定座椅（含标识等）每日维护不少于1次，每周彻底清洁1次；保持表面无杂物、无污渍、无蛛网、无积灰、无破损。</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6</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雨雪天气及时清理各道路积雪、积水，台阶处无积雪，并设置防滑措施。</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7</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室外垃圾桶内垃圾不得超过2/3，产生异味的立即封口并即时处理，杜绝桶内垃圾满溢；做到垃圾日产日清，及时清运；垃圾桶附近地面无散落垃圾，表面无污迹、无垃圾贴附物。</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8</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每日清扫绿植区域落叶、白色垃圾，做到不堆积。</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9</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负责范围内的化粪池清掏、荷塘清理等工作，每年不少于2次。</w:t>
            </w:r>
            <w:r>
              <w:rPr>
                <w:highlight w:val="none"/>
              </w:rPr>
            </w:r>
            <w:r/>
          </w:p>
        </w:tc>
      </w:tr>
    </w:tbl>
    <w:p>
      <w:pPr>
        <w:pStyle w:val="972"/>
        <w:ind w:firstLine="0"/>
        <w:spacing w:line="360" w:lineRule="exact"/>
        <w:rPr>
          <w:rFonts w:ascii="宋体" w:hAnsi="宋体" w:cs="宋体"/>
          <w:b/>
          <w:bCs/>
          <w:color w:val="000000"/>
          <w:sz w:val="24"/>
          <w:szCs w:val="28"/>
          <w:highlight w:val="none"/>
        </w:rPr>
      </w:pPr>
      <w:r>
        <w:rPr>
          <w:rFonts w:ascii="宋体" w:hAnsi="宋体" w:cs="宋体"/>
          <w:b/>
          <w:bCs/>
          <w:color w:val="000000"/>
          <w:sz w:val="24"/>
          <w:szCs w:val="28"/>
          <w:highlight w:val="none"/>
        </w:rPr>
        <w:t xml:space="preserve">（四）绿化养护服务</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1.服务范围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茅山校区内所有乔木、灌木、花卉、草坪、地被、行道树、古树名木、绿篱及水体等。</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2.服务内容</w:t>
      </w: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7577"/>
      </w:tblGrid>
      <w:tr>
        <w:trPr>
          <w:trHeight w:val="451"/>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服务内容</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基本要求</w:t>
            </w:r>
            <w:r>
              <w:rPr>
                <w:highlight w:val="none"/>
              </w:rPr>
            </w:r>
            <w:r/>
          </w:p>
        </w:tc>
      </w:tr>
      <w:tr>
        <w:trPr>
          <w:trHeight w:val="401"/>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浇水</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根据天气实际情况灵活开展，确保绿植水分需求。</w:t>
            </w:r>
            <w:r>
              <w:rPr>
                <w:highlight w:val="none"/>
              </w:rPr>
            </w:r>
            <w:r/>
          </w:p>
        </w:tc>
      </w:tr>
      <w:tr>
        <w:trPr>
          <w:trHeight w:val="336"/>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施肥</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每年平均开展2-3次，根据绿植生长特性科学配比肥料。</w:t>
            </w:r>
            <w:r>
              <w:rPr>
                <w:highlight w:val="none"/>
              </w:rPr>
            </w:r>
            <w:r/>
          </w:p>
        </w:tc>
      </w:tr>
      <w:tr>
        <w:trPr>
          <w:trHeight w:val="759"/>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修剪整形</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草地：每年6-8次；灌木：每年4-6次（根据长势动态调整）；乔木：每年冬季完成1次修剪。|</w:t>
            </w:r>
            <w:r>
              <w:rPr>
                <w:highlight w:val="none"/>
              </w:rPr>
            </w:r>
            <w:r/>
          </w:p>
        </w:tc>
      </w:tr>
      <w:tr>
        <w:trPr>
          <w:trHeight w:val="385"/>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病虫害防治</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覆盖草地、灌木、乔木等所有绿植，坚持预防为主、综合防治。</w:t>
            </w:r>
            <w:r>
              <w:rPr>
                <w:highlight w:val="none"/>
              </w:rPr>
            </w:r>
            <w:r/>
          </w:p>
        </w:tc>
      </w:tr>
      <w:tr>
        <w:trPr>
          <w:trHeight w:val="759"/>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除杂草松土</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草坪除草每月1次，雨后杂草严重时每周1次；草坪内禁止出现开花杂草，花木丛中禁止出现高于花木的杂草。|</w:t>
            </w:r>
            <w:r>
              <w:rPr>
                <w:highlight w:val="none"/>
              </w:rPr>
            </w:r>
            <w:r/>
          </w:p>
        </w:tc>
      </w:tr>
      <w:tr>
        <w:trPr>
          <w:trHeight w:val="504"/>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补植</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对因生长不良造成残缺的花草、树木及时补植，恢复绿化景观。</w:t>
            </w:r>
            <w:r>
              <w:rPr>
                <w:highlight w:val="none"/>
              </w:rPr>
            </w:r>
            <w:r/>
          </w:p>
        </w:tc>
      </w:tr>
      <w:tr>
        <w:trPr>
          <w:trHeight w:val="710"/>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清理</w:t>
            </w:r>
            <w:r>
              <w:rPr>
                <w:highlight w:val="none"/>
              </w:rPr>
            </w:r>
            <w:r/>
          </w:p>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绿化垃圾</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修剪产生的树枝、杂草等绿化垃圾当日清运完毕，严禁就地焚烧。</w:t>
            </w:r>
            <w:r>
              <w:rPr>
                <w:highlight w:val="none"/>
              </w:rPr>
            </w:r>
            <w:r/>
          </w:p>
        </w:tc>
      </w:tr>
      <w:tr>
        <w:trPr>
          <w:trHeight w:val="752"/>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防风防汛</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灾前做好绿植加固等预防措施，灾后及时清除倒树断枝、疏通道路，对受损绿植进行清理扶植。</w:t>
            </w:r>
            <w:r>
              <w:rPr>
                <w:highlight w:val="none"/>
              </w:rPr>
            </w:r>
            <w:r/>
          </w:p>
        </w:tc>
      </w:tr>
      <w:tr>
        <w:trPr>
          <w:trHeight w:val="510"/>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保护措施</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保护现有绿化植被完整，及时制止并处理人为损坏绿植的行为。</w:t>
            </w:r>
            <w:r>
              <w:rPr>
                <w:highlight w:val="none"/>
              </w:rPr>
            </w:r>
            <w:r/>
          </w:p>
        </w:tc>
      </w:tr>
    </w:tbl>
    <w:p>
      <w:pPr>
        <w:pStyle w:val="958"/>
        <w:jc w:val="left"/>
        <w:spacing w:line="315" w:lineRule="exact"/>
        <w:rPr>
          <w:rFonts w:ascii="宋体" w:hAnsi="宋体" w:cs="宋体"/>
          <w:b/>
          <w:bCs/>
          <w:color w:val="000000"/>
          <w:sz w:val="24"/>
          <w:szCs w:val="24"/>
          <w:highlight w:val="none"/>
        </w:rPr>
      </w:pPr>
      <w:r>
        <w:rPr>
          <w:rFonts w:ascii="宋体" w:hAnsi="宋体" w:cs="宋体"/>
          <w:b/>
          <w:bCs/>
          <w:color w:val="000000"/>
          <w:sz w:val="24"/>
          <w:szCs w:val="24"/>
          <w:highlight w:val="none"/>
        </w:rPr>
        <w:t xml:space="preserve">3.服务标准</w:t>
      </w:r>
      <w:r>
        <w:rPr>
          <w:highlight w:val="none"/>
        </w:rPr>
      </w:r>
      <w:r/>
    </w:p>
    <w:tbl>
      <w:tblPr>
        <w:tblW w:w="89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4"/>
        <w:gridCol w:w="6795"/>
      </w:tblGrid>
      <w:tr>
        <w:trPr>
          <w:trHeight w:val="676"/>
          <w:tblHeader/>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序号</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项目名称</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服务标准</w:t>
            </w:r>
            <w:r>
              <w:rPr>
                <w:highlight w:val="none"/>
              </w:rPr>
            </w:r>
            <w:r/>
          </w:p>
        </w:tc>
      </w:tr>
      <w:tr>
        <w:trPr>
          <w:trHeight w:val="258"/>
        </w:trPr>
        <w:tc>
          <w:tcPr>
            <w:tcW w:w="737"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highlight w:val="none"/>
              </w:rPr>
            </w:r>
            <w:r/>
          </w:p>
        </w:tc>
        <w:tc>
          <w:tcPr>
            <w:tcW w:w="1404"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基本要求</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制定完善的绿化服务工作制度及工作计划，并严格执行</w:t>
            </w:r>
            <w:r>
              <w:rPr>
                <w:highlight w:val="none"/>
              </w:rPr>
            </w:r>
            <w:r/>
          </w:p>
        </w:tc>
      </w:tr>
      <w:tr>
        <w:trPr>
          <w:trHeight w:val="263"/>
        </w:trPr>
        <w:tc>
          <w:tcPr>
            <w:tcW w:w="737"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rFonts w:ascii="宋体" w:hAnsi="宋体" w:cs="宋体"/>
                <w:color w:val="000000"/>
                <w:sz w:val="24"/>
                <w:szCs w:val="28"/>
                <w:highlight w:val="none"/>
              </w:rPr>
              <w:t xml:space="preserve">做好绿化服务工作记录，填写规范、完整；</w:t>
            </w:r>
            <w:r>
              <w:rPr>
                <w:highlight w:val="none"/>
              </w:rPr>
            </w:r>
            <w:r/>
          </w:p>
        </w:tc>
      </w:tr>
      <w:tr>
        <w:trPr>
          <w:trHeight w:val="46"/>
        </w:trPr>
        <w:tc>
          <w:tcPr>
            <w:tcW w:w="737"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rFonts w:ascii="宋体" w:hAnsi="宋体" w:cs="宋体"/>
                <w:color w:val="000000"/>
                <w:sz w:val="24"/>
                <w:szCs w:val="28"/>
                <w:highlight w:val="none"/>
              </w:rPr>
              <w:t xml:space="preserve">作业时采取必要的安全防护措施，防止对作业人员或他人造成人身伤害；</w:t>
            </w:r>
            <w:r>
              <w:rPr>
                <w:highlight w:val="none"/>
              </w:rPr>
            </w:r>
            <w:r/>
          </w:p>
        </w:tc>
      </w:tr>
      <w:tr>
        <w:trPr>
          <w:trHeight w:val="46"/>
        </w:trPr>
        <w:tc>
          <w:tcPr>
            <w:tcW w:w="737"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（4）</w:t>
            </w:r>
            <w:r>
              <w:rPr>
                <w:rFonts w:ascii="宋体" w:hAnsi="宋体" w:cs="宋体"/>
                <w:color w:val="000000"/>
                <w:sz w:val="24"/>
                <w:szCs w:val="28"/>
                <w:highlight w:val="none"/>
              </w:rPr>
              <w:t xml:space="preserve">使用的相关耗材需符合环保、安全相关规定要求。</w:t>
            </w:r>
            <w:r>
              <w:rPr>
                <w:highlight w:val="none"/>
              </w:rPr>
            </w:r>
            <w:r/>
          </w:p>
        </w:tc>
      </w:tr>
      <w:tr>
        <w:trPr>
          <w:trHeight w:val="706"/>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养护方法</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（1）管理程序：包含淋水、开窝培土、修剪、施肥、除草、修剪抹芽、病虫害防治、扶正、补苗（苗木费另计）等全流程作业；</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（2）管理工具：配备花剪、长剪、高空剪、铲草机、剪草机；喷雾器、桶、斗车、竹箕；铲、锄、锯子、电锯、梯子等各类专业工具。</w:t>
            </w:r>
            <w:r>
              <w:rPr>
                <w:highlight w:val="none"/>
              </w:rPr>
            </w:r>
            <w:r/>
          </w:p>
        </w:tc>
      </w:tr>
      <w:tr>
        <w:trPr>
          <w:trHeight w:val="676"/>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养护标准</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本区域绿化养护执行江苏省城市园林绿化一级养护标准，覆盖所有乔木、灌木、花卉、草坪、地被、古树名木等；本方案养护标准表述不明确或存在冲突的，以《江苏省城市园林绿化养护管理规范及分级标准》（苏建园〔2015〕383号）为准，未涵盖的内容参照《园林绿化养护标准》（CJJ/T287-2018）执行。</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2.区域内草坪植物配置合理，乔、灌、花、草品类齐全，基本无裸露土地。</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乔木生长健壮，树冠完整，树形优美；分枝点设置合理，无枯枝死杈；主侧枝分布匀称、数量适宜；修剪及时、规范，内膛通风透光；树木无歪斜（造型树木除外），叶片大小、颜色正常，无黄叶、焦叶、卷叶；无缺株、死株，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行道树树形完整、树冠舒展，分枝点偏差在±10cm内；保留3级及以上分枝，长势良好，无徒长枝、病虫枝、交叉枝、重叠枝、下垂枝、扭伤枝、萌蘖枝、枯枝及烂头等；树穴设置平整盖板或种植地被植物、覆盖树皮碎屑，杜绝黄土裸露，树穴设施完好；补植的行道树品种与原品种一致，规格适宜（落叶树种胸径≤15cm，常绿树种胸径≤12cm）；可视病虫危害被害株率≤2%，地下害虫≤2头/㎡。</w:t>
            </w:r>
            <w:r>
              <w:rPr>
                <w:rFonts w:hint="eastAsia" w:ascii="宋体" w:hAnsi="宋体" w:cs="宋体"/>
                <w:color w:val="000000"/>
                <w:sz w:val="24"/>
                <w:szCs w:val="28"/>
                <w:highlight w:val="none"/>
              </w:rPr>
              <w:t xml:space="preserve">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5.花灌木株形丰满，枝叶茂密，开花适时，花后修剪及时、合理；可视病虫危害被害株率≤2%，地下害虫≤2头/㎡。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6.古树名木按照国家、省相关规定开展养护，各项养护管理措施落实到位，确保植株生长正常、状态良好。</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7.草坪外观整齐，边缘线清晰，生长旺盛，草根不裸露；无可视斑秃，生长季节不枯黄，修剪及时；绿地内杂草率≤2%，可视病虫危害被害株率≤2%，地下害虫≤2头/㎡。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8.绿篱、模纹和色块等修剪及时；绿篱线条清晰，同类观赏面规则、整齐一致；模纹和色块线条流畅、主要观赏面圆润饱满，符合设计要求；枝叶茂密，造型优美；造型树木根据生长特性及时摘心、攀扎；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9.花境花卉生长健壮，株行距适宜，色彩鲜艳，花期整齐，图案清晰；无缺株、倒伏，残花量≤10％；可视病虫危害被害株率≤2%，地下害虫≤2头/㎡；花坛表面整洁、无破损。</w:t>
            </w:r>
            <w:r>
              <w:rPr>
                <w:highlight w:val="none"/>
              </w:rPr>
            </w:r>
            <w:r/>
          </w:p>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0.水体水质符合地表水环境质量标准相应要求，水面清洁、无漂浮物；安全警示标志设置规范、齐全；池底、池岸安全稳固，各类面层无缺损。</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11.按季节每周对花卉开展1-2次养护，保持叶面干净整洁；养护的花卉生长健壮、状态良好，出现枯死、丧失观赏价值的，及时更换且规格与原花卉一致。</w:t>
            </w:r>
            <w:r>
              <w:rPr>
                <w:highlight w:val="none"/>
              </w:rPr>
            </w:r>
            <w:r/>
          </w:p>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2.保障学院绿地灌溉喷淋设施完好无损，定期巡视维护，及时报修故障，确保设施正常使用。</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13.绿化带、草坪及水体卫生保洁：每日上、下午各开展1次巡视清洁，保持绿地整洁，无杂树、无杂草、无堆物堆料、无白色垃圾、无树挂，严禁搭棚、侵占绿地；设施基本完好，无明显人为损坏，及时发现并处理破坏绿地、乱倒垃圾等违规行为；做好水面日常清理、清淤工作，保证水面清洁、无漂浮物；负责绿化生产垃圾的清运。</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14.对校内乔木杨柳絮、梧桐树飘絮开展定期防治，采用地面水车高压水炮等方式喷淋降尘、增加空气湿度、压制飞絮，减少飞絮飘落。</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15.树木冬季做好防寒养护，包括树干涂白、灭虫，按天气情况浇透防冻水；对黄杨景观、雪松等绿植采取冬季保温防护措施。</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16.节能节水：树立节约用水意识，爱护用水设施设备，及时保养维护绿化供水设施，发现跑冒滴漏现象即时上报；严禁违规使用消防用水进行灌溉，特殊情况确需使用自来水灌溉的，须经校方相关管理部门书面同意。</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17.绿化养护工具、员工工作服、保洁用品、保洁用具、防滑垫、湖水危险提示牌、工作梯、清扫三轮车等各类物品，由养护企业自行负责采购配置。</w:t>
            </w:r>
            <w:r>
              <w:rPr>
                <w:highlight w:val="none"/>
              </w:rPr>
            </w:r>
            <w:r/>
          </w:p>
        </w:tc>
      </w:tr>
      <w:tr>
        <w:trPr>
          <w:trHeight w:val="676"/>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花卉栽植要求及规格</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境栽植方案交校方审核后再栽植养护；栽植花株底座采用大杯，杯口直径90MM，每平方栽植或摆放不低于65株，须含养护；花境栽植时间于4月、9月迎新开学、11月栽植养护，另外有重要领导来访突击栽植摆放花草不低于3次，合计全年不低于6次。</w:t>
            </w:r>
            <w:r>
              <w:rPr>
                <w:highlight w:val="none"/>
              </w:rPr>
            </w:r>
            <w:r/>
          </w:p>
          <w:tbl>
            <w:tblPr>
              <w:tblW w:w="510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833"/>
              <w:gridCol w:w="1064"/>
              <w:gridCol w:w="1489"/>
              <w:gridCol w:w="637"/>
              <w:gridCol w:w="1049"/>
            </w:tblGrid>
            <w:tr>
              <w:trPr>
                <w:trHeight w:val="638"/>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序号</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栽植地点</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栽植面积</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内容效果</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种类</w:t>
                  </w:r>
                  <w:r>
                    <w:rPr>
                      <w:highlight w:val="none"/>
                    </w:rPr>
                  </w:r>
                  <w:r/>
                </w:p>
              </w:tc>
              <w:tc>
                <w:tcPr>
                  <w:tcW w:w="78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备注</w:t>
                  </w:r>
                  <w:r>
                    <w:rPr>
                      <w:highlight w:val="none"/>
                    </w:rPr>
                  </w:r>
                  <w:r/>
                </w:p>
              </w:tc>
            </w:tr>
            <w:tr>
              <w:trPr>
                <w:trHeight w:val="47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校区门口花坛</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highlight w:val="none"/>
                    </w:rPr>
                  </w:r>
                  <w:bookmarkStart w:id="193" w:name="OLE_LINK5"/>
                  <w:r>
                    <w:rPr>
                      <w:rFonts w:hint="eastAsia" w:ascii="宋体" w:hAnsi="宋体" w:cs="宋体"/>
                      <w:color w:val="000000"/>
                      <w:sz w:val="24"/>
                      <w:szCs w:val="28"/>
                      <w:highlight w:val="none"/>
                    </w:rPr>
                    <w:t xml:space="preserve">≥</w:t>
                  </w:r>
                  <w:bookmarkEnd w:id="193"/>
                  <w:r>
                    <w:rPr>
                      <w:rFonts w:ascii="宋体" w:hAnsi="宋体" w:cs="宋体"/>
                      <w:color w:val="000000"/>
                      <w:sz w:val="24"/>
                      <w:szCs w:val="28"/>
                      <w:highlight w:val="none"/>
                    </w:rPr>
                    <w:t xml:space="preserve">10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草花栽植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3</w:t>
                  </w:r>
                  <w:r>
                    <w:rPr>
                      <w:highlight w:val="none"/>
                    </w:rPr>
                  </w:r>
                  <w:r/>
                </w:p>
              </w:tc>
              <w:tc>
                <w:tcPr>
                  <w:tcW w:w="782"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须确保花整齐、均匀，花坛（台）及时换花，整体观赏效果好</w:t>
                  </w:r>
                  <w:r>
                    <w:rPr>
                      <w:highlight w:val="none"/>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篮球场西侧花坛</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40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行政楼西侧</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400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两侧绿化带沿路栽植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4</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M</w:t>
                  </w:r>
                  <w:r>
                    <w:rPr>
                      <w:rFonts w:ascii="宋体" w:hAnsi="宋体" w:cs="宋体"/>
                      <w:color w:val="000000"/>
                      <w:sz w:val="24"/>
                      <w:szCs w:val="28"/>
                      <w:highlight w:val="none"/>
                    </w:rPr>
                    <w:t xml:space="preserve">2</w:t>
                  </w:r>
                  <w:r>
                    <w:rPr>
                      <w:rFonts w:hint="eastAsia" w:ascii="宋体" w:hAnsi="宋体" w:cs="宋体"/>
                      <w:color w:val="000000"/>
                      <w:sz w:val="24"/>
                      <w:szCs w:val="28"/>
                      <w:highlight w:val="none"/>
                    </w:rPr>
                    <w:t xml:space="preserve">教学楼东侧花坛</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10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5</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田径场二号门两侧</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200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花卉栽植点缀</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766"/>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合计</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660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c>
                <w:tcPr>
                  <w:tcW w:w="78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r>
          </w:tbl>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bl>
            <w:tblPr>
              <w:tblW w:w="7486" w:type="dxa"/>
              <w:jc w:val="center"/>
              <w:tblInd w:w="5" w:type="dxa"/>
              <w:tblLayout w:type="fixed"/>
              <w:tblCellMar>
                <w:left w:w="15" w:type="dxa"/>
                <w:top w:w="15" w:type="dxa"/>
                <w:right w:w="15" w:type="dxa"/>
                <w:bottom w:w="15" w:type="dxa"/>
              </w:tblCellMar>
              <w:tblLook w:val="04A0" w:firstRow="1" w:lastRow="0" w:firstColumn="1" w:lastColumn="0" w:noHBand="0" w:noVBand="1"/>
            </w:tblPr>
            <w:tblGrid>
              <w:gridCol w:w="2155"/>
              <w:gridCol w:w="2402"/>
              <w:gridCol w:w="2929"/>
            </w:tblGrid>
            <w:tr>
              <w:trPr>
                <w:trHeight w:val="198"/>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更换花种</w:t>
                  </w:r>
                  <w:r>
                    <w:rPr>
                      <w:rFonts w:ascii="宋体" w:hAnsi="宋体" w:cs="宋体"/>
                      <w:color w:val="000000"/>
                      <w:sz w:val="24"/>
                      <w:szCs w:val="28"/>
                      <w:highlight w:val="none"/>
                    </w:rPr>
                    <w:t xml:space="preserve">日期</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品种</w:t>
                  </w:r>
                  <w:r>
                    <w:rPr>
                      <w:rFonts w:hint="eastAsia" w:ascii="宋体" w:hAnsi="宋体" w:cs="宋体"/>
                      <w:color w:val="000000"/>
                      <w:sz w:val="24"/>
                      <w:szCs w:val="28"/>
                      <w:highlight w:val="none"/>
                    </w:rPr>
                    <w:t xml:space="preserve">（用花品质不得低于下列常用品种）</w:t>
                  </w:r>
                  <w:r>
                    <w:rPr>
                      <w:highlight w:val="none"/>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备注</w:t>
                  </w:r>
                  <w:r>
                    <w:rPr>
                      <w:highlight w:val="none"/>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本年</w:t>
                  </w:r>
                  <w:r>
                    <w:rPr>
                      <w:rFonts w:ascii="宋体" w:hAnsi="宋体" w:cs="宋体"/>
                      <w:color w:val="000000"/>
                      <w:sz w:val="24"/>
                      <w:szCs w:val="28"/>
                      <w:highlight w:val="none"/>
                    </w:rPr>
                    <w:t xml:space="preserve">2</w:t>
                  </w:r>
                  <w:r>
                    <w:rPr>
                      <w:rFonts w:hint="eastAsia" w:ascii="宋体" w:hAnsi="宋体" w:cs="宋体"/>
                      <w:color w:val="000000"/>
                      <w:sz w:val="24"/>
                      <w:szCs w:val="28"/>
                      <w:highlight w:val="none"/>
                    </w:rPr>
                    <w:t xml:space="preserve">月</w:t>
                  </w:r>
                  <w:r>
                    <w:rPr>
                      <w:rFonts w:ascii="宋体" w:hAnsi="宋体" w:cs="宋体"/>
                      <w:color w:val="000000"/>
                      <w:sz w:val="24"/>
                      <w:szCs w:val="28"/>
                      <w:highlight w:val="none"/>
                    </w:rPr>
                    <w:t xml:space="preserve">-4</w:t>
                  </w:r>
                  <w:r>
                    <w:rPr>
                      <w:rFonts w:hint="eastAsia" w:ascii="宋体" w:hAnsi="宋体" w:cs="宋体"/>
                      <w:color w:val="000000"/>
                      <w:sz w:val="24"/>
                      <w:szCs w:val="28"/>
                      <w:highlight w:val="none"/>
                    </w:rPr>
                    <w:t xml:space="preserve">月</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孔雀草</w:t>
                  </w:r>
                  <w:r>
                    <w:rPr>
                      <w:highlight w:val="none"/>
                    </w:rPr>
                  </w:r>
                  <w:r/>
                </w:p>
              </w:tc>
              <w:tc>
                <w:tcPr>
                  <w:tcBorders>
                    <w:top w:val="single" w:color="000000" w:sz="4" w:space="0"/>
                    <w:left w:val="single" w:color="000000" w:sz="4" w:space="0"/>
                    <w:bottom w:val="none" w:color="000000" w:sz="0" w:space="0"/>
                    <w:right w:val="single" w:color="000000" w:sz="4" w:space="0"/>
                  </w:tcBorders>
                  <w:tcW w:w="1956"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耐高温</w:t>
                  </w:r>
                  <w:r>
                    <w:rPr>
                      <w:rFonts w:hint="eastAsia" w:ascii="宋体" w:hAnsi="宋体" w:cs="宋体"/>
                      <w:color w:val="000000"/>
                      <w:sz w:val="24"/>
                      <w:szCs w:val="28"/>
                      <w:highlight w:val="none"/>
                    </w:rPr>
                    <w:t xml:space="preserve">、杯口直径90MM</w:t>
                  </w:r>
                  <w:r>
                    <w:rPr>
                      <w:highlight w:val="none"/>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矮牵牛</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一串红</w:t>
                  </w:r>
                  <w:r>
                    <w:rPr>
                      <w:highlight w:val="none"/>
                    </w:rPr>
                  </w:r>
                  <w:r/>
                </w:p>
              </w:tc>
              <w:tc>
                <w:tcPr>
                  <w:tcBorders>
                    <w:top w:val="none" w:color="000000" w:sz="0" w:space="0"/>
                    <w:left w:val="single" w:color="000000" w:sz="4" w:space="0"/>
                    <w:bottom w:val="single" w:color="000000" w:sz="4"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本年</w:t>
                  </w:r>
                  <w:r>
                    <w:rPr>
                      <w:rFonts w:ascii="宋体" w:hAnsi="宋体" w:cs="宋体"/>
                      <w:color w:val="000000"/>
                      <w:sz w:val="24"/>
                      <w:szCs w:val="28"/>
                      <w:highlight w:val="none"/>
                    </w:rPr>
                    <w:t xml:space="preserve">5</w:t>
                  </w:r>
                  <w:r>
                    <w:rPr>
                      <w:rFonts w:hint="eastAsia" w:ascii="宋体" w:hAnsi="宋体" w:cs="宋体"/>
                      <w:color w:val="000000"/>
                      <w:sz w:val="24"/>
                      <w:szCs w:val="28"/>
                      <w:highlight w:val="none"/>
                    </w:rPr>
                    <w:t xml:space="preserve">月</w:t>
                  </w:r>
                  <w:r>
                    <w:rPr>
                      <w:rFonts w:ascii="宋体" w:hAnsi="宋体" w:cs="宋体"/>
                      <w:color w:val="000000"/>
                      <w:sz w:val="24"/>
                      <w:szCs w:val="28"/>
                      <w:highlight w:val="none"/>
                    </w:rPr>
                    <w:t xml:space="preserve">-10</w:t>
                  </w:r>
                  <w:r>
                    <w:rPr>
                      <w:rFonts w:hint="eastAsia" w:ascii="宋体" w:hAnsi="宋体" w:cs="宋体"/>
                      <w:color w:val="000000"/>
                      <w:sz w:val="24"/>
                      <w:szCs w:val="28"/>
                      <w:highlight w:val="none"/>
                    </w:rPr>
                    <w:t xml:space="preserve">月</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五星花</w:t>
                  </w:r>
                  <w:r>
                    <w:rPr>
                      <w:highlight w:val="none"/>
                    </w:rPr>
                  </w:r>
                  <w:r/>
                </w:p>
              </w:tc>
              <w:tc>
                <w:tcPr>
                  <w:tcBorders>
                    <w:top w:val="single" w:color="000000" w:sz="4" w:space="0"/>
                    <w:left w:val="single" w:color="000000" w:sz="4" w:space="0"/>
                    <w:bottom w:val="none" w:color="000000" w:sz="0" w:space="0"/>
                    <w:right w:val="single" w:color="000000" w:sz="4" w:space="0"/>
                  </w:tcBorders>
                  <w:tcW w:w="1956"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耐高温</w:t>
                  </w:r>
                  <w:r>
                    <w:rPr>
                      <w:rFonts w:hint="eastAsia" w:ascii="宋体" w:hAnsi="宋体" w:cs="宋体"/>
                      <w:color w:val="000000"/>
                      <w:sz w:val="24"/>
                      <w:szCs w:val="28"/>
                      <w:highlight w:val="none"/>
                    </w:rPr>
                    <w:t xml:space="preserve">、杯口直径90MM</w:t>
                  </w:r>
                  <w:r>
                    <w:rPr>
                      <w:highlight w:val="none"/>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太阳花（红）</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彩叶草</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矮牵牛</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太阳花（黄）</w:t>
                  </w:r>
                  <w:r>
                    <w:rPr>
                      <w:highlight w:val="none"/>
                    </w:rPr>
                  </w:r>
                  <w:r/>
                </w:p>
              </w:tc>
              <w:tc>
                <w:tcPr>
                  <w:tcBorders>
                    <w:top w:val="none" w:color="000000" w:sz="0" w:space="0"/>
                    <w:left w:val="single" w:color="000000" w:sz="4" w:space="0"/>
                    <w:bottom w:val="single" w:color="000000" w:sz="4"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本年</w:t>
                  </w:r>
                  <w:r>
                    <w:rPr>
                      <w:rFonts w:ascii="宋体" w:hAnsi="宋体" w:cs="宋体"/>
                      <w:color w:val="000000"/>
                      <w:sz w:val="24"/>
                      <w:szCs w:val="28"/>
                      <w:highlight w:val="none"/>
                    </w:rPr>
                    <w:t xml:space="preserve">11</w:t>
                  </w:r>
                  <w:r>
                    <w:rPr>
                      <w:rFonts w:hint="eastAsia" w:ascii="宋体" w:hAnsi="宋体" w:cs="宋体"/>
                      <w:color w:val="000000"/>
                      <w:sz w:val="24"/>
                      <w:szCs w:val="28"/>
                      <w:highlight w:val="none"/>
                    </w:rPr>
                    <w:t xml:space="preserve">月</w:t>
                  </w:r>
                  <w:r>
                    <w:rPr>
                      <w:rFonts w:ascii="宋体" w:hAnsi="宋体" w:cs="宋体"/>
                      <w:color w:val="000000"/>
                      <w:sz w:val="24"/>
                      <w:szCs w:val="28"/>
                      <w:highlight w:val="none"/>
                    </w:rPr>
                    <w:t xml:space="preserve">-</w:t>
                  </w:r>
                  <w:r>
                    <w:rPr>
                      <w:rFonts w:hint="eastAsia" w:ascii="宋体" w:hAnsi="宋体" w:cs="宋体"/>
                      <w:color w:val="000000"/>
                      <w:sz w:val="24"/>
                      <w:szCs w:val="28"/>
                      <w:highlight w:val="none"/>
                    </w:rPr>
                    <w:t xml:space="preserve">来年</w:t>
                  </w:r>
                  <w:r>
                    <w:rPr>
                      <w:rFonts w:ascii="宋体" w:hAnsi="宋体" w:cs="宋体"/>
                      <w:color w:val="000000"/>
                      <w:sz w:val="24"/>
                      <w:szCs w:val="28"/>
                      <w:highlight w:val="none"/>
                    </w:rPr>
                    <w:t xml:space="preserve">2</w:t>
                  </w:r>
                  <w:r>
                    <w:rPr>
                      <w:rFonts w:hint="eastAsia" w:ascii="宋体" w:hAnsi="宋体" w:cs="宋体"/>
                      <w:color w:val="000000"/>
                      <w:sz w:val="24"/>
                      <w:szCs w:val="28"/>
                      <w:highlight w:val="none"/>
                    </w:rPr>
                    <w:t xml:space="preserve">月</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三色堇</w:t>
                  </w:r>
                  <w:r>
                    <w:rPr>
                      <w:highlight w:val="none"/>
                    </w:rPr>
                  </w:r>
                  <w:r/>
                </w:p>
              </w:tc>
              <w:tc>
                <w:tcPr>
                  <w:tcBorders>
                    <w:top w:val="single" w:color="000000" w:sz="4" w:space="0"/>
                    <w:left w:val="single" w:color="000000" w:sz="4" w:space="0"/>
                    <w:bottom w:val="none" w:color="000000" w:sz="0" w:space="0"/>
                    <w:right w:val="single" w:color="000000" w:sz="4" w:space="0"/>
                  </w:tcBorders>
                  <w:tcW w:w="1956"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耐寒</w:t>
                  </w:r>
                  <w:r>
                    <w:rPr>
                      <w:highlight w:val="none"/>
                    </w:rPr>
                  </w:r>
                  <w:r/>
                </w:p>
              </w:tc>
            </w:tr>
            <w:tr>
              <w:trPr>
                <w:trHeight w:val="216"/>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羽衣甘蓝</w:t>
                  </w:r>
                  <w:r>
                    <w:rPr>
                      <w:highlight w:val="none"/>
                    </w:rPr>
                  </w:r>
                  <w:r/>
                </w:p>
              </w:tc>
              <w:tc>
                <w:tcPr>
                  <w:tcBorders>
                    <w:top w:val="none" w:color="000000" w:sz="0" w:space="0"/>
                    <w:left w:val="single" w:color="000000" w:sz="4" w:space="0"/>
                    <w:bottom w:val="single" w:color="000000" w:sz="4"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bl>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r>
      <w:tr>
        <w:trPr>
          <w:trHeight w:val="676"/>
        </w:trPr>
        <w:tc>
          <w:tcPr>
            <w:tcW w:w="737" w:type="dxa"/>
            <w:vAlign w:val="center"/>
            <w:vMerge w:val="restart"/>
            <w:textDirection w:val="lrTb"/>
            <w:noWrap w:val="false"/>
          </w:tcPr>
          <w:p>
            <w:pPr>
              <w:pStyle w:val="958"/>
              <w:jc w:val="center"/>
              <w:spacing w:line="360" w:lineRule="auto"/>
              <w:widowControl/>
              <w:rPr>
                <w:rFonts w:ascii="宋体" w:hAnsi="宋体" w:cs="宋体"/>
                <w:color w:val="000000"/>
                <w:highlight w:val="none"/>
              </w:rPr>
            </w:pPr>
            <w:r>
              <w:rPr>
                <w:rFonts w:ascii="宋体" w:hAnsi="宋体" w:cs="宋体"/>
                <w:color w:val="000000"/>
                <w:highlight w:val="none"/>
              </w:rPr>
              <w:t xml:space="preserve">5</w:t>
            </w:r>
            <w:r>
              <w:rPr>
                <w:highlight w:val="none"/>
              </w:rPr>
            </w:r>
            <w:r/>
          </w:p>
        </w:tc>
        <w:tc>
          <w:tcPr>
            <w:tcW w:w="1404"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养护方案</w:t>
            </w:r>
            <w:r>
              <w:rPr>
                <w:highlight w:val="none"/>
              </w:rPr>
            </w:r>
            <w:r/>
          </w:p>
        </w:tc>
        <w:tc>
          <w:tcPr>
            <w:tcW w:w="6795" w:type="dxa"/>
            <w:vAlign w:val="center"/>
            <w:textDirection w:val="lrTb"/>
            <w:noWrap w:val="false"/>
          </w:tcPr>
          <w:p>
            <w:pPr>
              <w:pStyle w:val="972"/>
              <w:ind w:firstLine="0"/>
              <w:spacing w:line="340" w:lineRule="exact"/>
              <w:rPr>
                <w:rFonts w:ascii="宋体" w:hAnsi="宋体" w:cs="宋体"/>
                <w:color w:val="000000"/>
                <w:sz w:val="24"/>
                <w:szCs w:val="28"/>
                <w:highlight w:val="none"/>
              </w:rPr>
            </w:pPr>
            <w:r>
              <w:rPr>
                <w:rFonts w:ascii="宋体" w:hAnsi="宋体" w:cs="宋体"/>
                <w:color w:val="000000"/>
                <w:sz w:val="24"/>
                <w:szCs w:val="28"/>
                <w:highlight w:val="none"/>
              </w:rPr>
              <w:t xml:space="preserve">一、二月份：做好冬季修剪、行道树检查、害虫防治工作；绿地、花坛挑除大型野草，草坪及时挑草、切边，绿地做好防冻浇水。</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40" w:lineRule="exact"/>
              <w:rPr>
                <w:rFonts w:ascii="宋体" w:hAnsi="宋体" w:cs="宋体"/>
                <w:color w:val="000000"/>
                <w:sz w:val="24"/>
                <w:szCs w:val="28"/>
                <w:highlight w:val="none"/>
              </w:rPr>
            </w:pPr>
            <w:r>
              <w:rPr>
                <w:rFonts w:ascii="宋体" w:hAnsi="宋体" w:cs="宋体"/>
                <w:color w:val="000000"/>
                <w:sz w:val="24"/>
                <w:szCs w:val="28"/>
                <w:highlight w:val="none"/>
              </w:rPr>
              <w:t xml:space="preserve">三、四月份：抢抓春季植树时机，土壤解冻后随挖、随运、随种、随浇水；开展春灌、施肥工作，剪除冬、春季干枯枝条，修剪常绿绿篱；做好病虫害防治，重点开展白蚁防治。</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40" w:lineRule="exact"/>
              <w:rPr>
                <w:rFonts w:ascii="宋体" w:hAnsi="宋体" w:cs="宋体"/>
                <w:color w:val="000000"/>
                <w:sz w:val="24"/>
                <w:szCs w:val="28"/>
                <w:highlight w:val="none"/>
              </w:rPr>
            </w:pPr>
            <w:r>
              <w:rPr>
                <w:rFonts w:ascii="宋体" w:hAnsi="宋体" w:cs="宋体"/>
                <w:color w:val="000000"/>
                <w:sz w:val="24"/>
                <w:szCs w:val="28"/>
                <w:highlight w:val="none"/>
              </w:rPr>
              <w:t xml:space="preserve">五、六月份：及时浇水保障植物水分需求，结合松土除草开展施肥、浇水；继续对行道树剥芽除蘖，对绿篱、球类及部分花灌木修剪；做好低洼处排水工作；及时防治病虫害，重点开展白蚁防治；做好树木防汛防台前期检查，对松动、倾斜树木扶正、加固及重新绑扎。</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七、八月份：大雨过后及时对低洼积水处排涝；继续做好行道树防台工作；对一般树木夏修，对绿篱进行造型修剪；及时中耕除草，结合除草开展施肥；以捕捉天牛为主开展病虫害防治，重点关注根部天牛，及时防治蚜虫、香樟樟巢螟，做好潮湿天气白粉病、腐烂病防治，重点开展白蚁防治。</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九、十月份：对行道树三级分以下剥芽，对绿篱造型修剪；绿地内除草、草坪切边，及时清理死树；对生长较弱、枝条不充实的树木追施磷、钾肥；做好秋季植树准备，下旬耐寒树木落叶后开始栽植；及时去除死树、做好浇水，绿地、草坪做好挑草切边，对生长不良的草花施肥；继续捕捉根部天牛，做好香樟樟巢螟防治。</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十一月份：继续栽植耐寒植物，在土壤冻结前完成；对绿地土壤翻土，暴露越冬害虫；对干、板结土壤浇水，在封冻前完成；做好各类病虫害防治工作。</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十二月份：对常绿乔木、灌木开展冬季修剪；消灭越冬病虫害；待落叶植物落叶后，对养护区勘察，绘制绿化调整方位图，做好下一年绿化调整准备。</w:t>
            </w:r>
            <w:r>
              <w:rPr>
                <w:highlight w:val="none"/>
              </w:rPr>
            </w:r>
            <w:r/>
          </w:p>
        </w:tc>
      </w:tr>
    </w:tbl>
    <w:p>
      <w:pPr>
        <w:pStyle w:val="972"/>
        <w:ind w:firstLine="0"/>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（五）楼宇管理服务</w:t>
      </w:r>
      <w:r>
        <w:rPr>
          <w:highlight w:val="none"/>
        </w:rPr>
      </w:r>
      <w:r/>
    </w:p>
    <w:p>
      <w:pPr>
        <w:pStyle w:val="972"/>
        <w:ind w:firstLine="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1.服务范围</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校区内所有建筑物，包括教学楼、报告厅、行政楼、图书信息中心、文创园、实境课堂、心理咨询中心、艺体中心、学生公寓、保安值班室、开闭所（配电房）、水泵房等。</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2.总体服务要求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确保各类楼宇结构安全、设施完好、秩序规范、环境整洁，贴合教学、住宿核心需求；联动校方维护楼宇正常使用秩序，全面排查并杜绝安全隐患；作业、巡检等工作避开教学、实训、学生午休及办公高峰时段，不影响校园正常秩序；定期与校方对接楼宇使用需求，配合开展安全检查、秩序整治等工作，及时反馈问题并协同整改；楼宇管理人员持证上岗，熟知管理标准，文明服务并快速响应师生诉求。具体要求如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楼宇门禁与人员管控：严格落实楼宇门禁制度，外来人员实行登记准入；按规定开放、关闭场馆；学生公寓实施晚归报备、校外留宿联动审批制度；教学/实训楼非教学时段实行封闭管理，严禁无关人员进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（2）楼宇结构与公共部位管护：定期巡检楼宇主体结构（墙面、地面、屋顶、楼梯），排查裂缝、渗漏等问题；维护楼道、走廊等公共区域清洁通畅，严禁私堆杂物、占用消防通道。</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（3）楼宇设施运维管理：每日巡检楼宇内照明、开关、插座、给排水等设施，发现故障及时联动维修部门处置；定期检查楼宇通风、排污系统，保障正常运行。</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（4）楼宇消防安防管理：每日巡查楼宇消防设施（灭火器、消防栓、应急灯等），确保完好可用；检查监控、门禁等安防设备，故障即时报修；严禁楼宇内违规动火作业、私拉乱接电线。</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（5）台账与巡检管理：建立楼宇巡检台账，每日记录设施状态、安全情况；留存维修、整改记录，做到全程可追溯；定期汇总楼宇使用问题，同步校方优化。</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3.重点楼宇专项管理服务要求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教学楼管理：上课时段维护楼道安静，禁止喧哗、追逐，课后疏导人流避免拥堵，非教学时段管控人员进出；重点巡检空调、照明、讲台等配套设施，课前排查故障，定期检修饮水设施、公共卫生间洁具；配合校方检查教室卫生，督促师生规范使用公共设施，及时清理墙面、桌椅张贴物，杜绝乱涂乱画。</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训室管理：严格落实实训室安全制度，实训期间管控人员进出，严禁无关人员进入；每日排查供电线路、防护设施、通风系统，严查违规用电、存放危险品行为；定期巡检实训操作台、专用供电接口等，保障实训设备正常运行，课后协助清理实训废料。</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学生公寓楼：办理学生入住/退宿、床位调整手续，建立住宿人员信息台账；落实晚归登记、违禁品排查（大功率电器、烟酒等），每日巡查宿舍安全与秩序；重点维护公寓内水电、卫浴、空调等生活设施，快速响应维修诉求，保障公共区域照明、楼道扶手正常使用；调解室友间轻微矛盾，配合宿管做好住宿纪律管理；突发停水停电、学生突发不适等情况即时响应，并联动校方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（4）行政及后勤配套楼宇：保障办公环境安静，定期巡检办公室水电、空调等设施，及时处置故障；做好物资库房等楼宇设施巡检，管控库房物资存放秩序，排查消防安全隐患，保障后勤保障工作有序开展。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（5）艺体中心：课余开放时段做好人员登记，引导文明使用场馆，杜绝危险动作，定期清洁场地地面、保持通风干爽；承接校内文体活动时，配合校方规划活动区域，活动后及时清理场地、将器材归位。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（6）报告厅：配合校方进行场地布置与人员登记，做好会务/活动保障，活动后及时清理场地、关闭场内设施。</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（7）实境课堂：配合校方进行场地布置与人员登记，活动后及时清理场地、关闭场内设施。</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4.楼宇应急处置服务要求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（1）突发故障处置：楼宇内突发停水停电、设施损坏等情况，维修人员5分钟内到场响应，快速排查处置并同步告知校方。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（2）安全应急处置：发现火灾隐患、楼宇渗漏、人员受伤等紧急情况，立即启动应急预案，先行采取处置措施并上报校方及相关部门。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（3）极端天气应对：暴雨、暴雪等天气来临前，提前检查楼宇门窗、屋顶防水、排水系统；灾后即时清理楼宇积水、断枝，全面排查设施受损情况。</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（六）用电保障服务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1.用电保障基础服务要求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（1）全域供电保障：保障校园教学楼、艺体中心、公寓、图书信息中心、公共区域等全区域用电稳定，实时监测电网负荷，规避过载跳闸、防范漏电，保障教学、考试、生活正常开展。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电设施管护：定期巡检高低压配电室、开闭所、配电箱、电缆线路、开关插座、电表等设施，做好清洁、紧固、调试工作；建立设施台账，跟踪老化设施更换进度，及时排除各类安全隐患，确保设备正常运行，杜绝安全责任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（3）抄表与能耗管理：按时抄录公共区域及公寓（定额外）电表数据，确保数据精准；协助校方做好电费核算、公示工作，统计各区域能耗数据，提出节能优化建议。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（4）用电咨询与指导：为师生解答用电疑问，常态化开展用电安全宣讲，重点针对实训操作、宿舍用电规范开展专项指导，提升师生安全用电意识。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检测与保养：对校区电力设备开展定期检测、维修保养；每年至少对配电房内电气设备开展1次预防性实验，对安全工具开展1次定期检测，并出具行业认可的实验报告；每月至少开展1次变压器检查、开关站及高压柜电气设备检查、低压配电柜电气设备检查，及时清除屏内充电机及设备上的灰尘、蓄电池槽表面污垢、连接件上的氧化物，对充电机、输出回路进行绝缘测试及各类特性测试，开展蓄电池恢复性充放电作业。</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2.重点区域专项用电保障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教学实训区域：保障教室多媒体、照明、空调等设备用电稳定，课前排查线路及插座故障，杜绝教学中途断电，定期检测教室线路绝缘性、防范漏电；重点维护实训场地专用供电线路/配电箱，适配大功率用电需求，实训前核验负荷、接地是否达标，实训后切断非必要设备电源、排查线路发热及松动隐患；实验室、机房做好稳压、接地保护，避免精密设备受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学生公寓区域：保障宿舍照明、插座、空调、热水器等用电稳定，快速维修故障插座、开关，杜绝接触不良问题，保障公寓公用洗衣间、开水炉用电正常；严查大功率违禁电器（电炉、电暖器等），杜绝私拉乱接、插座串联行为，定期巡检楼层配电箱，防范线路过载引发安全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场馆公共区域：承接赛事、集会等活动前，核算总用电负荷，必要时实施临时增容，活动全程安排人员值守，即时处置断电、设备故障；保障校区路灯、监控、门禁、消防应急系统24小时不间断供电，重点做好公共卫生间、饮水点防水防漏电工作，杜绝安全隐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（4）行政后勤区域：保障行政办公区域、物资库房等后勤区域用电稳定，适配厨房设备、冷藏设备等大功率用电需求，定期巡检线路，防止油污腐蚀线路。</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3.用电安全全流程管控</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（1）隐患排查整改：每日巡查公共供电设施，每周专项排查实训室、公寓等高风险区域，每月对配电室全面检修；发现线路老化、破损、过载等隐患立即闭环整改，并留存整改记录。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（2）违禁用电管控：建立宿舍、实训室违禁用电排查机制，发现违规行为立即制止并上报校方，从源头规避用电事故。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（3）接地防雷保障：定期检测供电系统接地装置、防雷设施有效性，雨季前开展专项检修，避免雷击损坏设备、引发触电事故。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（4）规范操作管理：维修人员持电工证上岗，带电作业、高空作业需双人在场并做好防护措施；配电室设专人值守，张贴明显警示标识，非授权人员禁止入内。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（5）设施防护：对配电箱、线路做好防水、防腐蚀、防鼠咬保护，实训室、食堂等特殊区域线路采取穿管防护措施，杜绝线路裸露。</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4.停电管理与应急处置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（1）计划停电：提前对接供电部门获取停电通知，第一时间同步校方并协助发布停电公告，协助调整教学、实训安排；提前启动备用电源，保障监控、应急照明、播音电台、实训关键设备等核心负荷供电。</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（2）突发停电：立即启动应急预案，首先排查校内线路/设备故障，非校内问题即时对接供电部门；优先恢复教学、实训、公寓生活及安防消防用电，最大限度减少停电影响。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（3）故障抢修：供电故障发生后，维修人员5分钟内到场，简单故障0.5小时内修复，复杂故障持续抢修并实时向校方同步进展。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（4）应急保障：配电室配备备用电源及应急物资，定期调试确保可用；建立完善的应急供电预案，有效应对极端天气、电网故障等突发情况。</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5.日常管理规范</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（1）台账管理：建立完善的供电设施台账、日常巡检记录、故障维修记录、停电处置记录、隐患整改台账，做到全程可追溯。</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（2）人员管理：电工必须持证上岗，定期参加技能培训；明确各岗位人员职责，落实24小时应急值守机制。</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（3）联动协作：定期与校方、供电部门对接，协同开展用电安全检查；及时反馈用电隐患，配合校方处置违规用电问题。</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（七）学生公寓管理服务（24小时值班值守）</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（1）安全首位：严守宿舍安全底线，杜绝火灾、触电、外来人员闯入等安全风险。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（2）值守无断档：实行24小时在岗值守制度，做好无缝交接班，全程快速响应学生需求。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（3）服务育人：兼顾管理规范性与学生群体特点，耐心沟通引导，助力校园育人管理工作。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（4）快速响应：突发情况5分钟内到场处置，重大事件立即上报校方相关部门。</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2.岗位设置与值守安排</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（1）设置宿舍值班长1名，统筹24小时值守工作，每日对值守情况进行抽查。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（2）预留1-2名备勤人员，突发缺岗时备勤人员需10分钟内到岗补位，确保值守无空岗。</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（3）值守点固定设置在宿舍一楼值班室，值守人员严禁脱岗、擅离值守区域。</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3.日常值守工作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（1）人员进出管理：严格核实学生身份，做好晚归、外出学生信息登记；禁止校外无关人员进入，严禁违禁品（烟酒、管制刀具、大功率电器）进入宿舍。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（2）门禁管理：按规定时间开关宿舍大门，夜间（22:00-次日6:00）关闭主门禁，仅保留应急通道。</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（3）巡查巡检：每日对宿舍区域水电安全、门窗关闭情况、异常声响等开展巡查，及时上报问题并做好台账记录。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（4）诉求响应：及时处理学生报修（水电、门锁等）、咨询事宜，简单问题当场解决，复杂问题登记后转维修部门并跟踪处理进度。</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（5）台账记录：规范填写《24小时值守台账》《巡查记录》《报修记录》《人员进出登记册》等台账，做到有据可查。</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4.夜间值守工作（22:00-次日6:00）</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（1）增加夜间巡查频次，重点排查夜间安全隐患、学生违规熬夜、喧闹等情况。</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（2）应急通道实行专人管控，非紧急情况严禁开启，确需开启的需做好登记备案。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（3）接到学生夜间求助（突发不适、物品遗失等），立即到场处置，必要时联系校医或班主任。</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（4）做好夜间静音管控，及时劝阻学生喧哗、外放声音等影响他人休息的行为。</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5.应急处置职责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（1）突发疾病：立即陪同学生就医，同步联系班主任并上报学校相关部门。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（2）火情/水电故障：第一时间启动应急流程，组织人员疏散、切断电源水源，上报学校及消防/维修部门并配合处置。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（3）学生矛盾纠纷：当场劝阻制止，避免冲突升级，上报班主任及校区安保室并协助调查。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（4）失窃/安全事件：做好现场保护，登记相关情况，立即上报校区安保室并配合调查取证。</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6.协同配合职责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（1）每日交接班时，逐项交接值守情况、未办结事项、隐患问题，签字确认后完成交接。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（2）配合学校开展宿舍安全检查、纪律整顿等工作，严格落实校方管理要求。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（3）发现学生违规行为，先行劝阻教育，对屡教不改的及时上报班主任及学校相关部门。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（4）联动校方制定宿舍内务标准，定期协助开展检查（每日抽查、每周普查），督促学生整理床铺、分类投放垃圾，杜绝私堆杂物。</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7.服务规范要求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（1）着装规范：统一穿着物业值守制服，佩戴工牌，保持仪容整洁。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（2）言行规范：对学生态度耐心友善，使用文明用语，不与学生发生争执，杜绝粗暴管理。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（3）保密规范：对学生个人信息、宿舍内情况严格保密，不随意泄露。</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（4）时效规范：学生诉求响应时间不超过5分钟，应急处置到场时间不超过3分钟，重大问题上报信息时间不超过10分钟。</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（八）教学、会议保障服务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（1）教学优先：保障教学活动零干扰、零延误，精准适配各类教学需求。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（2）会议适配：根据会议规模、类型提供精准化服务，兼顾流程顺畅与细节完善。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（3）高效响应：教学故障5分钟内到场处置，会议保障全程无缝衔接。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（4）安全合规：严守教学/会议场地安全管理规定，规范操作各类设备、管控人员动线。</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2.教学保障服务</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（1）课前保障（每日课前30分钟完成）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环境清洁：按标准清洁教室地面、讲台、桌椅、门窗，清理垃圾，确保无杂物、无异味；实训教室重点清理操作台、设备表面油污/碎屑。</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设备检查：逐一核查空调、照明、插座等设施，确保正常运行；实训教室额外检查实训设备通电情况、安全防护装置、应急器材完好性。</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物资补给：补充粉笔、板擦、白板笔、垃圾桶袋等教学物资，实训教室按需补充耗材（如工具、防护用品），确保教学物资充足。</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安全排查：检查教室消防设施、疏散通道，实训教室重点排查电路、设备安全隐患，杜绝安全风险。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（2）课中保障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专人值守：教学楼设置1名保障员现场值守，全程响应教学突发需求。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故障处置：接到设备故障报修后，5分钟内到场排查，简单问题当场解决，复杂问题登记后联动维修组，并同步告知任课教师及教务办，最大限度减少教学影响。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秩序维护：劝阻无关人员进入教学区域，制止走廊喧哗、打闹行为，保障课堂教学秩序。</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应急支援：配合处理课中学生突发状况（如身体不适），协助联系校医、班主任；实训课若发生设备故障/轻微安全事件，立即协助任课教师处置并做好现场保护。</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动态补给：课间快速补充教学物资，清理少量垃圾，维持教室整洁。</w:t>
      </w:r>
      <w:r>
        <w:rPr>
          <w:highlight w:val="none"/>
        </w:rPr>
      </w:r>
      <w:r/>
    </w:p>
    <w:p>
      <w:pPr>
        <w:pStyle w:val="958"/>
        <w:ind w:firstLine="60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（3）课后保障（课后15分钟内完成）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环境清理：全面清扫教室，分类清理垃圾，擦拭讲台、桌椅，恢复教室整洁状态。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设备归位：关闭多媒体、照明、空调、实训设备电源，拔掉无关插头，锁闭门窗并做好登记。</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问题复盘：记录当日教学保障中发现的问题（如设备老化、物资短缺），次日做好交接并跟进整改。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（4）专项保障要求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临时调课/加课：接到通知后30分钟内完成教室清洁，满足临时教学需求。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考试保障：提前1天完成考场布置（桌椅摆放）、设备检查，考试期间全程静音值守，杜绝外界干扰，配合监考老师处置突发情况。</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3.会议保障服务（覆盖校内各类会议：教研会/家长会/校企对接会/表彰会等）</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（1）会前筹备（按会议时间提前完成，大型会议提前1-2小时）</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需求对接：提前与校方对接会议时间、规模、流程，明确场地布置、设备、物资等具体需求。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场地布置：按照会议需求摆放会议桌椅，布置主席台、指引标识。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物资准备：按需求准备饮用水、客耗品、应急药品（创可贴、藿香正气水）等，做到摆放整齐。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环境保障：清洁会场地面、座椅、主席台，做好通风换气、室温调节，确保无异味、无杂物；清理会场外通道，保障通行顺畅。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安全检查：核查会场消防设施、应急通道，大型会议配合安保室做好人员限流、动线管控。</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（2）会中保障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服务支撑：引导参会人员就座，协助做好签到、资料分发工作；定时补充饮用水，维持会场整洁。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秩序维护：劝阻喧哗、随意走动行为，管控无关人员进入会场；大型会议协助引导人员离场，避免拥挤。</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应急处置：突发设备故障立即启用备用设备；遇人员身体不适，协助联系校医；发生突发状况（如停电），配合校方安抚人员并启动应急设备。</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（3）会后收尾（会议结束后30分钟内完成）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物资清理：回收姓名牌、纸笔、资料、剩余物资，分类整理，可复用物资妥善保管。</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环境清洁：全面清扫会场，清理垃圾、擦拭桌椅、台面，恢复场地原貌。</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设备归位：关闭所有设备电源，收回麦克风、连接线等，锁闭门窗并做好登记。</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反馈复盘：向校方反馈会议保障情况，记录问题并及时整改，形成完善的保障台账。</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4.服务规范要求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（1）着装规范：统一穿着物业工作制服，佩戴工牌，保持仪容整洁、举止得体。</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（2）言行规范：使用文明用语，态度谦和，主动提供服务；不随意插话，不泄露会议/教学涉密信息。</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（3）时效规范：教学保障响应时间不超过5分钟，会议保障问题处置时间不超过5分钟，重大问题立即上报。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（4）协同规范：与校方综合办公室等部门密切对接，严格落实各项工作要求；交接班时逐项交接未办结事项，签字确认后完成交接。</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（九）生活生产垃圾清运服务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（1）合规管控：严格落实生活、生产垃圾分类管理要求，杜绝混装混运；清运单位需具备相应资质，危险废料处置必须对接有资质机构，并留存资质文件及处置凭证。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（2）及时无滞留：生活垃圾实现日产日清，生产垃圾定时清运，做到无堆积、无异味、无渗漏；遇暴雨、节假日等特殊情况，提前增加清运频次，垃圾堆积突发问题30分钟内响应处置。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（3）安全有序：校园内清运作业避开师生通行高峰，规范操作防止垃圾洒漏；严禁在校园内随意倾倒、焚烧垃圾；危险生产废料严格按规定处置，杜绝安全隐患；转运车辆在校园内限速行驶（≤15km/h）。</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（4）校园适配：贴合公寓、教学楼、食堂等多区域清运需求，不干扰正常教学与生活秩序，配合做好重大活动、重要事件期间的垃圾清理清运工作。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（5）卫生管控：所有垃圾收集点每日消杀1次（夏季每日2次），垃圾桶每周清洗消毒1次，杜绝蚊虫滋生、异味扩散。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（6）协同管控：定期对接校区综合办公室，根据教学、实训及维修改造工作安排调整生产垃圾清运计划；接受师生监督，公示清运标准及投诉渠道。</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2.岗位设置与职责</w:t>
      </w:r>
      <w:r>
        <w:rPr>
          <w:highlight w:val="none"/>
        </w:rPr>
      </w:r>
      <w:r/>
    </w:p>
    <w:p>
      <w:pPr>
        <w:pStyle w:val="958"/>
        <w:ind w:firstLine="60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（1）设置垃圾清运主管1名：统筹全校区垃圾清运工作，对接校方后勤及合规清运单位，监督清运质量、确保台账闭环管理。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（2）配置清运作业员至少1名：负责日常垃圾收集、转运、收集点保洁，按规范开展垃圾分类处置工作。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（3）核心职责：按要求分类收集垃圾、按时清运，做好收集点保洁与台账登记；每日巡查各垃圾点位，排查堆积、渗漏、异味等问题，及时整改并上报；做好垃圾合规交接与安全隐患处置工作。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3.分类清运细则（分生活垃圾+生产垃圾）</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（1）生活垃圾清运（覆盖宿舍、教学楼、办公楼、食堂）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收集点位：按校区布局在固定垃圾点位开展收集工作。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收集频次：宿舍区每日至少2次，节假日不减频次，杜绝垃圾堆积；教学楼/办公楼每日至少1次，课间安排专人巡查清理满桶垃圾桶；食堂餐后即时清理厨余垃圾，每日不少于3次，避免腐烂产生异味。</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清运时间：避开师生上下学、就餐高峰时段。</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处置要求：可回收垃圾单独分拣暂存，定期对接回收单位处置；厨余垃圾实行密闭转运，防止渗漏；其他垃圾日产日清，对接市政合规清运渠道处置。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（2）生产垃圾清运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类处置：一般生产废料（实训耗材边角料、无危害包装等）分类收集，每日清运并对接合规单位处置；可回收生产废料（金属、塑料、废旧工具等）定点密闭存放，每周集中清运并建立回收台账；危险生产废料（废油漆、废试剂、废电池、破损玻璃耗材等）单独设置专用密闭容器，专人看管，严禁混装，按规定定期对接有资质单位处置，全程留痕备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收集要求：设置生产垃圾专属收集点，张贴清晰分类标识，及时清运、杜绝滞留。</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清运频次：一般生产废料每日1次，可回收废料每周1次，危险废料按需清运（满桶即清，最长不超过7天）。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安全规范：清运作业时佩戴防护用品，轻拿轻放防止磕碰、泄漏；实训危险废料转运全程安排专人护送，规划固定路线并避开教学区。</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4.标准作业流程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（1）日常收集：作业员按频次巡查各点位，清空垃圾桶并将垃圾分类装入转运车，擦拭干净桶身后归位。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（2）校内转运：规划固定转运路线（避开师生上下学、就餐高峰），转运车实行密闭加盖，防止垃圾洒漏、异味扩散，车身每日做好清洁。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（3）交接清运：与外部清运单位现场核对垃圾种类、数量，签字确认并完成交接台账。</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（4）点位保洁：清运作业完成后，即时清理收集点地面、墙面污渍，开展消杀除臭工作，将垃圾桶摆放整齐，保持垃圾房干净、无残留垃圾、无积水异味。</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（5）台账登记：每日规范填写《垃圾清运台账》，注明点位、种类、数量、清运单位、交接人，做到全程可追溯。</w:t>
      </w:r>
      <w:r>
        <w:rPr>
          <w:highlight w:val="none"/>
        </w:rPr>
      </w:r>
      <w:r/>
    </w:p>
    <w:p>
      <w:pPr>
        <w:pStyle w:val="958"/>
        <w:jc w:val="lef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（十）校园应急保障服务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（1）生命至上：优先保障师生人身安全，所有应急处置工作均以人员避险为首要目标。</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（2）快速响应：实行24小时应急待命制度，接报后3分钟内到场处置，简单事件即时处理，重大事件同步上报，无拖延、无漏报。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工协同：物业团队联动校方（综合办公室、安保室、学工办、教务办）及外部机构（消防、急救、公安），精准传递信息，不推诿、不脱节，无缝衔接开展处置工作；严格按预案及安全规程操作，杜绝违规操作引发二次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（4）校情适配：重点覆盖公寓安全、教学保障类应急场景，有效应对突发事件、自然灾害等不可抗力因素导致的意外事件。</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（5）预防为先：常态化开展隐患排查与应急演练，降低应急事件发生率，提升团队应急处置效率。</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2.应急组织架构与职责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（1）应急组织架构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应急领导小组：由物业项目负责人担任组长，统筹应急指挥调度、应急资源调配及对外沟通对接工作。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现场处置组：由维修、值守人员组成，负责现场救援、隐患控制、人员疏散转移等实操工作。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后勤保障组：负责应急物资补给、事故现场清理、善后工作支撑等保障事宜。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协同联络组：安排专人专职对接校方、消防、急救、公安等相关单位，做好信息同步、支援协调工作。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（2）工作职责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24小时应急值守：值班室设置应急专用联络线路，确保应急信息传递畅通，实现无断档响应。</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隐患前置排查：每日对校园关键点位开展安全巡查，及时发现并消除安全隐患，从源头防范风险。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现场快速处置：严格按照应急预案开展人员疏散、现场救援、风险管控等操作，规范处置流程。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多方协同联动：精准对接校方及外部应急力量，高效推进应急处置各项工作，形成联动合力。</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善后复盘整改：应急事件处置完毕后，及时清理现场、完善应急处置台账，复盘处置过程并优化应急预案。</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3.消防安全应急处置流程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（1）适用场景：实训室易燃耗材、宿舍、食堂、教学楼、强弱电间、开闭所等区域的消防安全应急。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（2）接报响应：接到火情报告（烟感报警、师生上报）后，3分钟内到场核实情况，立即启动消防安全应急预案。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（3）初期处置：小火情使用就近灭火器/消防栓扑灭；火势失控时，立即切断区域电源，开启应急广播。</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（4）人员疏散：引导师生沿疏散通道有序撤离，优先疏散人员密集场所师生，做好人数清点，避免拥挤踩踏事故。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（5）联动上报：同步拨打119报警，对接校方综合办公室、安保室，封锁火情区域并做好现场保护。</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（6）善后处置：火灾扑灭后，配合消防部门排查事故原因，清理事故场地，检修消防设施，开展复盘整改工作。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4.水电设施突发应急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大面积停水/停电：立即组织人员排查故障点位，简单故障30分钟内完成修复；若为复杂故障（主线路故障、水泵故障等），第一时间同步上报校方，发布停水/停电通知告知师生，及时启用备用电源/临时供水点，保障教学、学生宿舍基本用水用电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（2）水管爆裂/漏水：快速关闭故障区域供水阀门，及时清理积水，防止积水渗漏至实训设备、教室等区域，维修班组加急开展故障抢修，避免影响正常教学实训秩序。</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（3）电路短路/漏电：立即切断故障区域电源，设置安全警戒区域并严禁人员靠近，由专业维修人员排查故障并完成修复，杜绝触电安全风险。</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5.恶劣天气应急（暴雨、暴雪、台风等）</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（1）事前预防：收到气象部门恶劣天气预警后，及时加固校园门窗、广告牌等设施，清理排水口保障排水通畅，转移实训易损设备，储备沙袋、铁锹等应急物资。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（2）事中处置：持续巡查校园积水、树木倒伏、屋顶渗漏等情况，对危险路段采取封闭措施，协助校方调整教学安排；暴雪天气及时组织清扫校园主干道、楼宇出入口积雪，保障师生通行安全。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（3）事后善后：及时清理校园内倒伏树木、积水，全面检修受损设施设备，排查各类安全隐患，快速恢复校园正常教学、生活秩序。</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6.治安/突发事件应急（外来人员闯入、学生冲突、失窃）</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（1）外来人员闯入/滋扰：协助校方安保人员现场劝阻管控，控制无关人员行动范围，立即联系校方安保室；若情节严重，第一时间拨打110报警，杜绝无关人员进入教学、学生公寓核心区域。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（2）学生冲突：当场制止冲突行为，疏散围观人员，避免矛盾升级，立即上报班主任及校方相关部门，协助开展调查调解工作。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（3）失窃事件：做好失窃现场保护工作，详细登记失物及事件相关信息，立即上报校方安保室，配合调阅监控、公安部门开展调查取证工作。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7.公共卫生应急（传染病苗头、食品不适）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（1）接报响应：发现多名师生出现身体不适或传染病疑似症状时，立即对相关人员采取临时隔离措施，联系校医开展初步诊疗，第一时间上报校方。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（2）环境消杀：对涉事区域（教室、食堂、宿舍等）开展全面彻底的消杀作业，保持区域通风换气，切断病菌传播途径。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（3）协同管控：主动对接校方及疾控部门，严格按照要求落实各项管控措施，暂停涉事区域各类聚集性活动。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（4）物资保障：及时补充口罩、消毒液等防疫物资，配合校方做好师生健康监测工作，做好防疫保障。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8.日常应急保障基础工作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（1）应急物资储备：按照标准配备沙袋、绝缘工具、消防器材、防疫物资等应急保障物资，实行每月盘点制度，及时补充短缺物资，确保应急物资完好可用。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（2）隐患日常排查：每日对校园水电线路、疏散通道开展巡查，协助校方巡查消防设施、实训设备；每周开展一次安全专项检查，建立隐患排查整改台账，实现隐患闭环管理。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（3）应急演练：配合校方定期开展应急演练（重点围绕消防、急救、防恐防爆等场景），提升物业团队及师生的应急处置与自救互救能力。</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（4）24小时值守联动：值班室留存校方、消防、急救、公安等相关单位应急联络电话，确保一键快速对接，实现应急信息同步无延迟。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（5）台账规范记录：所有应急事件均规范填写《应急处置台账》，明确记录事件发生时间、地点、处置过程、处置结果等信息，确保全程可追溯核查。</w:t>
      </w:r>
      <w:r>
        <w:rPr>
          <w:highlight w:val="none"/>
        </w:rPr>
      </w:r>
      <w:r/>
    </w:p>
    <w:p>
      <w:pPr>
        <w:pStyle w:val="958"/>
        <w:jc w:val="lef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（十一）委托物业服务从业人员要求</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本项目物业服务团队岗位设置、最低人员要求及任职基本要求如下表所示：</w:t>
      </w:r>
      <w:r>
        <w:rPr>
          <w:highlight w:val="none"/>
        </w:rPr>
      </w:r>
      <w:r/>
    </w:p>
    <w:tbl>
      <w:tblPr>
        <w:tblW w:w="89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3"/>
        <w:gridCol w:w="709"/>
        <w:gridCol w:w="2976"/>
        <w:gridCol w:w="3823"/>
      </w:tblGrid>
      <w:tr>
        <w:trPr>
          <w:trHeight w:val="88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岗位名称</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人数</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主要职责</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人员基础要求</w:t>
            </w:r>
            <w:r>
              <w:rPr>
                <w:highlight w:val="none"/>
              </w:rPr>
            </w:r>
            <w:r/>
          </w:p>
        </w:tc>
      </w:tr>
      <w:tr>
        <w:trPr>
          <w:trHeight w:val="1266"/>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全面统筹负责校区综合物业服务各项工作，包括团队管理、服务质量管控、校方对接协调等。</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大专及以上学历，5年以上物业管理行业从业经历；熟练掌握办公软件操作，持有物业管理师等相关职业证书；责任心强，具备优秀的沟通协调、统筹管理能力。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经理助理</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协助项目经理做好相关管理工作，协助项目经理开展日常管理工作，负责各类台账整理、工作指令传达、各岗位工作协调等。</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大专及以上学历；熟练掌握办公软件操作，持有物业管理相关职业证书；3年及以上物业管理行业从业经历。</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学生宿舍值班员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承担学生宿舍24小时值班值守工作，开展宿舍区域安全巡视、人员进出管理、区域秩序维护，协助完成宿舍安全、卫生检查等工作。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掌握基础安防知识，具备一定学生宿舍管理工作经验。</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学生宿舍保洁员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承担学生宿舍公共区域卫生保洁、垃圾清运等工作。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楼宇保洁员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承担校区各楼宇公共区域卫生保洁、日常清洁维护等工作。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外环境保洁员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承担校园室外公共区域卫生保洁、环境维护等工作。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绿化工</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承担校园内绿化植被养护、病虫害防治、绿化垃圾清理等工作，含河道、荷塘周边绿化养护。</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132"/>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垃圾清运工</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每日收集校园内生活、生产垃圾并转运至校内指定集中点；完成垃圾房日常卫生打扫、消杀工作，确保垃圾房规范运营、无爆仓情况。</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男性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1994"/>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综合维修工</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承担高压配电房、开闭所24小时值班值守工作；巡查校区供水、供电及污水处理设施，保障设施正常运转；开展校园水电、木作、瓦工等领域的综合维修工作。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男性；至少1人持有特种作业操作证（高压电工）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低压电工证，</w:t>
            </w:r>
            <w:r>
              <w:rPr>
                <w:rFonts w:hint="eastAsia" w:ascii="宋体" w:hAnsi="宋体" w:cs="宋体"/>
                <w:color w:val="000000"/>
                <w:sz w:val="24"/>
                <w:szCs w:val="24"/>
                <w:highlight w:val="none"/>
              </w:rPr>
              <w:t xml:space="preserve">至少1人具备水电、木作及瓦工领域综合维修技能，且具有相关工作经验。</w:t>
            </w:r>
            <w:r>
              <w:rPr>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bl>
    <w:p>
      <w:pPr>
        <w:pStyle w:val="958"/>
        <w:jc w:val="left"/>
        <w:spacing w:line="315" w:lineRule="exact"/>
        <w:rPr>
          <w:color w:val="000000"/>
          <w:highlight w:val="none"/>
        </w:rPr>
      </w:pPr>
      <w:r>
        <w:rPr>
          <w:color w:val="000000"/>
          <w:highlight w:val="none"/>
        </w:rPr>
      </w:r>
      <w:r>
        <w:rPr>
          <w:highlight w:val="none"/>
        </w:rPr>
      </w:r>
      <w:r/>
    </w:p>
    <w:p>
      <w:pPr>
        <w:pStyle w:val="958"/>
        <w:jc w:val="left"/>
        <w:spacing w:line="440" w:lineRule="exact"/>
        <w:rPr>
          <w:b/>
          <w:color w:val="000000"/>
          <w:sz w:val="24"/>
          <w:szCs w:val="24"/>
          <w:highlight w:val="none"/>
        </w:rPr>
      </w:pPr>
      <w:r>
        <w:rPr>
          <w:rFonts w:ascii="宋体" w:hAnsi="宋体" w:cs="宋体"/>
          <w:b/>
          <w:color w:val="000000"/>
          <w:sz w:val="24"/>
          <w:szCs w:val="24"/>
          <w:highlight w:val="none"/>
        </w:rPr>
        <w:t xml:space="preserve">说明：</w:t>
      </w:r>
      <w:r>
        <w:rPr>
          <w:highlight w:val="none"/>
        </w:rPr>
      </w:r>
      <w:r/>
    </w:p>
    <w:p>
      <w:pPr>
        <w:pStyle w:val="958"/>
        <w:ind w:firstLine="482"/>
        <w:jc w:val="left"/>
        <w:spacing w:line="440" w:lineRule="exact"/>
        <w:rPr>
          <w:b/>
          <w:i w:val="0"/>
          <w:iCs/>
          <w:color w:val="000000"/>
          <w:sz w:val="24"/>
          <w:szCs w:val="24"/>
          <w:highlight w:val="none"/>
          <w:u w:val="none"/>
        </w:rPr>
      </w:pPr>
      <w:r>
        <w:rPr>
          <w:rFonts w:ascii="宋体" w:hAnsi="宋体" w:cs="宋体"/>
          <w:b/>
          <w:i/>
          <w:color w:val="000000"/>
          <w:sz w:val="24"/>
          <w:szCs w:val="24"/>
          <w:highlight w:val="none"/>
          <w:u w:val="single"/>
        </w:rPr>
        <w:t xml:space="preserve">1.本项目物业服务团队进校服务总人数不得少于28人。</w:t>
      </w:r>
      <w:r>
        <w:rPr>
          <w:rFonts w:ascii="宋体" w:hAnsi="宋体" w:cs="宋体"/>
          <w:b/>
          <w:i w:val="0"/>
          <w:iCs/>
          <w:color w:val="000000"/>
          <w:sz w:val="24"/>
          <w:szCs w:val="24"/>
          <w:highlight w:val="none"/>
          <w:u w:val="none"/>
        </w:rPr>
        <w:t xml:space="preserve">所有人员必须缴纳法定五险一金（养老保险、医疗保险、工伤保险、生育保险、失业保险、住房公积金），五险一金缴纳基数符合镇江市人社部门最新规定；所有人员工资不得低于镇江市现行最低工资标准计算。员工全年节假日加班工资及高温津贴发放标准严格符合国家最新规定。未响应以上条款的，视为未实质性响应招标文件。</w:t>
      </w:r>
      <w:r>
        <w:rPr>
          <w:highlight w:val="none"/>
        </w:rPr>
      </w:r>
      <w:r/>
    </w:p>
    <w:p>
      <w:pPr>
        <w:pStyle w:val="958"/>
        <w:ind w:firstLine="482"/>
        <w:jc w:val="left"/>
        <w:spacing w:line="440" w:lineRule="exact"/>
        <w:rPr>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2</w:t>
      </w:r>
      <w:r>
        <w:rPr>
          <w:rFonts w:ascii="宋体" w:hAnsi="宋体" w:cs="宋体"/>
          <w:b/>
          <w:i/>
          <w:color w:val="000000"/>
          <w:sz w:val="24"/>
          <w:szCs w:val="24"/>
          <w:highlight w:val="none"/>
          <w:u w:val="single"/>
        </w:rPr>
        <w:t xml:space="preserve">.中标人须严格遵守并执行《中华人民共和国劳动法》等相关法律法规，合同履行期间发生的劳动用工纠纷等各类矛盾，均由中标人独立承担责任，采购人不承担任何连带责任。</w:t>
      </w:r>
      <w:r>
        <w:rPr>
          <w:highlight w:val="none"/>
        </w:rPr>
      </w:r>
      <w:r/>
    </w:p>
    <w:p>
      <w:pPr>
        <w:pStyle w:val="958"/>
        <w:ind w:firstLine="482"/>
        <w:jc w:val="left"/>
        <w:spacing w:line="440" w:lineRule="exact"/>
        <w:rPr>
          <w:rFonts w:ascii="宋体" w:hAnsi="宋体" w:cs="宋体"/>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3</w:t>
      </w:r>
      <w:r>
        <w:rPr>
          <w:rFonts w:ascii="宋体" w:hAnsi="宋体" w:cs="宋体"/>
          <w:b/>
          <w:i/>
          <w:color w:val="000000"/>
          <w:sz w:val="24"/>
          <w:szCs w:val="24"/>
          <w:highlight w:val="none"/>
          <w:u w:val="single"/>
        </w:rPr>
        <w:t xml:space="preserve">.所有物业服务从业人员均要求身体健康、责任心强，无犯罪记录、无不良嗜好；具备良好的职业修养，爱岗敬业、工作勤勉、礼貌待人，中标人可根据项目实际工作需求对人员进行合理调配使用。</w:t>
      </w:r>
      <w:r>
        <w:rPr>
          <w:highlight w:val="none"/>
        </w:rPr>
      </w:r>
      <w:r/>
    </w:p>
    <w:p>
      <w:pPr>
        <w:pStyle w:val="958"/>
        <w:ind w:firstLine="482"/>
        <w:jc w:val="left"/>
        <w:spacing w:line="440" w:lineRule="exact"/>
        <w:rPr>
          <w:rFonts w:ascii="宋体" w:hAnsi="宋体" w:cs="宋体"/>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4</w:t>
      </w:r>
      <w:r>
        <w:rPr>
          <w:rFonts w:ascii="宋体" w:hAnsi="宋体" w:cs="宋体"/>
          <w:b/>
          <w:i/>
          <w:color w:val="000000"/>
          <w:sz w:val="24"/>
          <w:szCs w:val="24"/>
          <w:highlight w:val="none"/>
          <w:u w:val="single"/>
        </w:rPr>
        <w:t xml:space="preserve">.投标人须在投标文件中明确列明拟派项目经理信息；中标后，实际驻场项目经理须与投标文件中提供的人员信息保持一致，合同期内不得随意更换。确需更换的，中标人须至少提前一个月以书面形式通知采购人并经采购人书面同意，方可更换符合同等或更高要求的人员，且人员更换不得影响校区物业服务正常开展。</w:t>
      </w:r>
      <w:r>
        <w:rPr>
          <w:highlight w:val="none"/>
        </w:rPr>
      </w:r>
      <w:r/>
    </w:p>
    <w:p>
      <w:pPr>
        <w:pStyle w:val="958"/>
        <w:ind w:firstLine="480"/>
        <w:jc w:val="left"/>
        <w:spacing w:line="440" w:lineRule="exact"/>
        <w:rPr>
          <w:rFonts w:ascii="宋体" w:hAnsi="宋体" w:cs="宋体"/>
          <w:b/>
          <w:i/>
          <w:color w:val="000000"/>
          <w:sz w:val="24"/>
          <w:szCs w:val="24"/>
          <w:highlight w:val="none"/>
          <w:u w:val="single"/>
        </w:rPr>
      </w:pPr>
      <w:r>
        <w:rPr>
          <w:rFonts w:hint="eastAsia" w:ascii="宋体" w:hAnsi="宋体" w:cs="宋体"/>
          <w:b w:val="0"/>
          <w:bCs/>
          <w:i w:val="0"/>
          <w:iCs/>
          <w:color w:val="000000"/>
          <w:sz w:val="24"/>
          <w:szCs w:val="24"/>
          <w:highlight w:val="none"/>
          <w:u w:val="none"/>
          <w:lang w:val="en-US" w:eastAsia="zh-CN"/>
        </w:rPr>
        <w:t xml:space="preserve">5</w:t>
      </w:r>
      <w:r>
        <w:rPr>
          <w:rFonts w:ascii="宋体" w:hAnsi="宋体" w:cs="宋体"/>
          <w:b w:val="0"/>
          <w:bCs/>
          <w:i w:val="0"/>
          <w:iCs/>
          <w:color w:val="000000"/>
          <w:sz w:val="24"/>
          <w:szCs w:val="24"/>
          <w:highlight w:val="none"/>
          <w:u w:val="none"/>
        </w:rPr>
        <w:t xml:space="preserve">.</w:t>
      </w:r>
      <w:r>
        <w:rPr>
          <w:rFonts w:hint="eastAsia" w:ascii="宋体" w:hAnsi="宋体" w:cs="宋体"/>
          <w:b w:val="0"/>
          <w:bCs/>
          <w:i w:val="0"/>
          <w:iCs/>
          <w:color w:val="000000"/>
          <w:sz w:val="24"/>
          <w:szCs w:val="24"/>
          <w:highlight w:val="none"/>
          <w:u w:val="none"/>
        </w:rPr>
        <w:t xml:space="preserve">现场勘查：</w:t>
      </w:r>
      <w:r>
        <w:rPr>
          <w:rFonts w:ascii="宋体" w:hAnsi="宋体" w:cs="宋体"/>
          <w:b w:val="0"/>
          <w:bCs/>
          <w:i w:val="0"/>
          <w:iCs/>
          <w:color w:val="000000"/>
          <w:sz w:val="24"/>
          <w:szCs w:val="24"/>
          <w:highlight w:val="none"/>
          <w:u w:val="none"/>
        </w:rPr>
        <w:t xml:space="preserve">所有投标人必须按要求赴项目现场进行踏勘，</w:t>
      </w:r>
      <w:r>
        <w:rPr>
          <w:rFonts w:hint="eastAsia" w:ascii="宋体" w:hAnsi="宋体" w:cs="宋体"/>
          <w:b w:val="0"/>
          <w:bCs/>
          <w:i w:val="0"/>
          <w:iCs/>
          <w:color w:val="000000"/>
          <w:sz w:val="24"/>
          <w:szCs w:val="24"/>
          <w:highlight w:val="none"/>
          <w:u w:val="none"/>
        </w:rPr>
        <w:t xml:space="preserve">(文件</w:t>
      </w:r>
      <w:r>
        <w:rPr>
          <w:rFonts w:ascii="宋体" w:hAnsi="宋体" w:cs="宋体"/>
          <w:b w:val="0"/>
          <w:bCs/>
          <w:i w:val="0"/>
          <w:iCs/>
          <w:color w:val="000000"/>
          <w:sz w:val="24"/>
          <w:szCs w:val="24"/>
          <w:highlight w:val="none"/>
          <w:u w:val="none"/>
        </w:rPr>
        <w:t xml:space="preserve">公示前明确现场</w:t>
      </w:r>
      <w:r>
        <w:rPr>
          <w:rFonts w:hint="eastAsia" w:ascii="宋体" w:hAnsi="宋体" w:cs="宋体"/>
          <w:b w:val="0"/>
          <w:bCs/>
          <w:i w:val="0"/>
          <w:iCs/>
          <w:color w:val="000000"/>
          <w:sz w:val="24"/>
          <w:szCs w:val="24"/>
          <w:highlight w:val="none"/>
          <w:u w:val="none"/>
        </w:rPr>
        <w:t xml:space="preserve">集中</w:t>
      </w:r>
      <w:r>
        <w:rPr>
          <w:rFonts w:ascii="宋体" w:hAnsi="宋体" w:cs="宋体"/>
          <w:b w:val="0"/>
          <w:bCs/>
          <w:i w:val="0"/>
          <w:iCs/>
          <w:color w:val="000000"/>
          <w:sz w:val="24"/>
          <w:szCs w:val="24"/>
          <w:highlight w:val="none"/>
          <w:u w:val="none"/>
        </w:rPr>
        <w:t xml:space="preserve">踏勘时间</w:t>
      </w:r>
      <w:r>
        <w:rPr>
          <w:rFonts w:hint="eastAsia" w:ascii="宋体" w:hAnsi="宋体" w:cs="宋体"/>
          <w:b w:val="0"/>
          <w:bCs/>
          <w:i w:val="0"/>
          <w:iCs/>
          <w:color w:val="000000"/>
          <w:sz w:val="24"/>
          <w:szCs w:val="24"/>
          <w:highlight w:val="none"/>
          <w:u w:val="none"/>
        </w:rPr>
        <w:t xml:space="preserve">)</w:t>
      </w:r>
      <w:r>
        <w:rPr>
          <w:rFonts w:ascii="宋体" w:hAnsi="宋体" w:cs="宋体"/>
          <w:b w:val="0"/>
          <w:bCs/>
          <w:i w:val="0"/>
          <w:iCs/>
          <w:color w:val="000000"/>
          <w:sz w:val="24"/>
          <w:szCs w:val="24"/>
          <w:highlight w:val="none"/>
          <w:u w:val="none"/>
        </w:rPr>
        <w:t xml:space="preserve">充分了解项目实际情况</w:t>
      </w:r>
      <w:r>
        <w:rPr>
          <w:rFonts w:hint="eastAsia" w:ascii="宋体" w:hAnsi="宋体" w:cs="宋体"/>
          <w:b w:val="0"/>
          <w:bCs/>
          <w:i w:val="0"/>
          <w:iCs/>
          <w:color w:val="000000"/>
          <w:sz w:val="24"/>
          <w:szCs w:val="24"/>
          <w:highlight w:val="none"/>
          <w:u w:val="none"/>
        </w:rPr>
        <w:t xml:space="preserve">，</w:t>
      </w:r>
      <w:r>
        <w:rPr>
          <w:rFonts w:ascii="宋体" w:hAnsi="宋体" w:cs="宋体"/>
          <w:b w:val="0"/>
          <w:bCs/>
          <w:i w:val="0"/>
          <w:iCs/>
          <w:color w:val="000000"/>
          <w:sz w:val="24"/>
          <w:szCs w:val="24"/>
          <w:highlight w:val="none"/>
          <w:u w:val="none"/>
        </w:rPr>
        <w:t xml:space="preserve">并现场答疑。</w:t>
      </w:r>
      <w:r>
        <w:rPr>
          <w:highlight w:val="none"/>
        </w:rPr>
      </w:r>
      <w:r/>
    </w:p>
    <w:p>
      <w:pPr>
        <w:pStyle w:val="95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（1）现场勘察时间：2026年4月2日，下午</w:t>
      </w:r>
      <w:r>
        <w:rPr>
          <w:rFonts w:hint="eastAsia" w:ascii="宋体" w:hAnsi="宋体" w:cs="宋体"/>
          <w:color w:val="000000"/>
          <w:sz w:val="24"/>
          <w:szCs w:val="24"/>
          <w:highlight w:val="none"/>
          <w:u w:val="single"/>
        </w:rPr>
        <w:t xml:space="preserve">14</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17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00</w:t>
      </w:r>
      <w:r>
        <w:rPr>
          <w:rFonts w:hint="eastAsia" w:ascii="宋体" w:hAnsi="宋体" w:cs="宋体"/>
          <w:color w:val="000000"/>
          <w:sz w:val="24"/>
          <w:szCs w:val="24"/>
          <w:highlight w:val="none"/>
        </w:rPr>
        <w:t xml:space="preserve">。</w:t>
      </w:r>
      <w:r>
        <w:rPr>
          <w:highlight w:val="none"/>
        </w:rPr>
      </w:r>
      <w:r/>
    </w:p>
    <w:p>
      <w:pPr>
        <w:pStyle w:val="958"/>
        <w:ind w:firstLine="480"/>
        <w:spacing w:line="44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勘察地址：</w:t>
      </w:r>
      <w:r>
        <w:rPr>
          <w:rFonts w:hint="eastAsia" w:ascii="宋体" w:hAnsi="宋体" w:cs="宋体"/>
          <w:color w:val="000000"/>
          <w:sz w:val="24"/>
          <w:szCs w:val="24"/>
          <w:highlight w:val="none"/>
          <w:u w:val="single"/>
        </w:rPr>
        <w:t xml:space="preserve"> 江苏</w:t>
      </w:r>
      <w:r>
        <w:rPr>
          <w:rFonts w:ascii="宋体" w:hAnsi="宋体" w:cs="宋体"/>
          <w:color w:val="000000"/>
          <w:sz w:val="24"/>
          <w:szCs w:val="24"/>
          <w:highlight w:val="none"/>
          <w:u w:val="single"/>
        </w:rPr>
        <w:t xml:space="preserve">省句容市茅山镇茅山校区</w:t>
      </w:r>
      <w:r>
        <w:rPr>
          <w:rFonts w:hint="eastAsia" w:ascii="宋体" w:hAnsi="宋体" w:cs="宋体"/>
          <w:color w:val="000000"/>
          <w:sz w:val="24"/>
          <w:szCs w:val="24"/>
          <w:highlight w:val="none"/>
          <w:u w:val="single"/>
        </w:rPr>
        <w:t xml:space="preserve">             </w:t>
      </w:r>
      <w:r>
        <w:rPr>
          <w:highlight w:val="none"/>
        </w:rPr>
      </w:r>
      <w:r/>
    </w:p>
    <w:p>
      <w:pPr>
        <w:pStyle w:val="95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联系人（联系电话）：</w:t>
      </w:r>
      <w:r>
        <w:rPr>
          <w:rFonts w:hint="eastAsia" w:ascii="宋体" w:hAnsi="宋体" w:cs="宋体"/>
          <w:color w:val="000000"/>
          <w:sz w:val="24"/>
          <w:szCs w:val="24"/>
          <w:highlight w:val="none"/>
          <w:u w:val="single"/>
        </w:rPr>
        <w:t xml:space="preserve"> 徐超</w:t>
      </w:r>
      <w:r>
        <w:rPr>
          <w:rFonts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15152927083</w:t>
      </w:r>
      <w:r>
        <w:rPr>
          <w:rFonts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highlight w:val="none"/>
        </w:rPr>
      </w:r>
      <w:r/>
    </w:p>
    <w:p>
      <w:pPr>
        <w:pStyle w:val="95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（2）其他</w:t>
      </w:r>
      <w:r>
        <w:rPr>
          <w:highlight w:val="none"/>
        </w:rPr>
      </w:r>
      <w:r/>
    </w:p>
    <w:p>
      <w:pPr>
        <w:pStyle w:val="958"/>
        <w:ind w:firstLine="480"/>
        <w:spacing w:line="440" w:lineRule="exact"/>
        <w:rPr>
          <w:rFonts w:hint="eastAsia" w:ascii="宋体" w:hAnsi="宋体" w:cs="宋体"/>
          <w:color w:val="000000"/>
          <w:sz w:val="24"/>
          <w:szCs w:val="24"/>
          <w:highlight w:val="none"/>
        </w:rPr>
      </w:pPr>
      <w:r>
        <w:rPr>
          <w:highlight w:val="none"/>
        </w:rPr>
      </w:r>
      <w:bookmarkStart w:id="194" w:name="OLE_LINK12"/>
      <w:r>
        <w:rPr>
          <w:highlight w:val="none"/>
        </w:rPr>
      </w:r>
      <w:bookmarkStart w:id="195" w:name="OLE_LINK11"/>
      <w:r>
        <w:rPr>
          <w:rFonts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请投标人授权代表持身份证原件、企业法人营业执照复印件加盖公章、法人授权委托书，在规定的时间前往勘察并现场签到。</w:t>
      </w:r>
      <w:r>
        <w:rPr>
          <w:highlight w:val="none"/>
        </w:rPr>
      </w:r>
      <w:r/>
    </w:p>
    <w:p>
      <w:pPr>
        <w:pStyle w:val="958"/>
        <w:ind w:firstLine="480"/>
        <w:spacing w:line="440" w:lineRule="exact"/>
        <w:rPr>
          <w:rFonts w:hint="eastAsia" w:ascii="宋体" w:hAnsi="宋体" w:cs="宋体"/>
          <w:color w:val="000000"/>
          <w:sz w:val="24"/>
          <w:szCs w:val="24"/>
          <w:highlight w:val="none"/>
        </w:rPr>
      </w:pPr>
      <w:r>
        <w:rPr>
          <w:highlight w:val="none"/>
        </w:rPr>
      </w:r>
      <w:bookmarkEnd w:id="194"/>
      <w:r>
        <w:rPr>
          <w:highlight w:val="none"/>
        </w:rPr>
      </w:r>
      <w:bookmarkEnd w:id="195"/>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投标人请务必对项目现场和周围环境进行仔细认真地查勘，在随后的投标中，对现场资料和数据所作出的推论、解释和结论及由此造成的后果由投标人负责。</w:t>
      </w:r>
      <w:r>
        <w:rPr>
          <w:highlight w:val="none"/>
        </w:rPr>
      </w:r>
      <w:r/>
    </w:p>
    <w:p>
      <w:pPr>
        <w:pStyle w:val="958"/>
        <w:ind w:firstLine="480"/>
        <w:spacing w:line="44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③</w:t>
      </w:r>
      <w:r>
        <w:rPr>
          <w:rFonts w:hint="eastAsia" w:ascii="宋体" w:hAnsi="宋体" w:cs="宋体"/>
          <w:color w:val="000000"/>
          <w:sz w:val="24"/>
          <w:szCs w:val="24"/>
          <w:highlight w:val="none"/>
        </w:rPr>
        <w:t xml:space="preserve">未勘察现场或勘察工作不详细的投标人成交后，不得以不完全了解现场情况为理由而向采购人提出任何索赔或其他要求，对此采购人不承担任何责任并将不作任何答复。</w:t>
      </w:r>
      <w:r>
        <w:rPr>
          <w:highlight w:val="none"/>
        </w:rPr>
      </w:r>
      <w:r/>
    </w:p>
    <w:p>
      <w:pPr>
        <w:pStyle w:val="958"/>
        <w:ind w:firstLine="482"/>
        <w:jc w:val="lef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（十二）其他要求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1.中标人须严格遵守国家相关法令、法规及采购人的各项规章制度、考核管理办法</w:t>
      </w:r>
      <w:r>
        <w:rPr>
          <w:rFonts w:hint="eastAsia" w:ascii="宋体" w:hAnsi="宋体" w:cs="宋体"/>
          <w:b/>
          <w:bCs/>
          <w:color w:val="000000"/>
          <w:sz w:val="24"/>
          <w:szCs w:val="24"/>
          <w:highlight w:val="none"/>
        </w:rPr>
        <w:t xml:space="preserve">（具体内容见附件）</w:t>
      </w:r>
      <w:r>
        <w:rPr>
          <w:rFonts w:hint="eastAsia" w:ascii="宋体" w:hAnsi="宋体" w:cs="宋体"/>
          <w:color w:val="000000"/>
          <w:sz w:val="24"/>
          <w:szCs w:val="24"/>
          <w:highlight w:val="none"/>
        </w:rPr>
        <w:t xml:space="preserve">，自觉接受采购人的工作检查与服务考核；结合项目实际制定并落实各项物业服务管理制度，坚持全心全意为师生服务的宗旨。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须在中标后一个月内，将所有实际进校工作人员的详细名单（包含姓名、身份证号码、联系方式、工种、学历、相关职业证书等信息）及个人简历提交采购人审核备案；对于不符合招标文件要求的人员，采购人有权要求中标人及时更换。</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经理为校区物业服务项目第一责任人，全面负责项目的工作协调与调度，严格落实采购人安排的各项工作任务；负责对各服务岗位工作开展情况进行考核与监督，及时与校区相关部门做好沟通对接；项目经理不得在其他单位兼任任何职务。</w:t>
      </w:r>
      <w:r>
        <w:rPr>
          <w:highlight w:val="none"/>
        </w:rPr>
      </w:r>
      <w:r/>
    </w:p>
    <w:p>
      <w:pPr>
        <w:pStyle w:val="958"/>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4.中标人须结合项目特点制定并提交以下专项方案：</w:t>
      </w:r>
      <w:r>
        <w:rPr>
          <w:rFonts w:ascii="宋体" w:hAnsi="宋体" w:cs="宋体"/>
          <w:color w:val="000000"/>
          <w:sz w:val="24"/>
          <w:szCs w:val="24"/>
          <w:highlight w:val="none"/>
        </w:rPr>
        <w:t xml:space="preserve">项目认知及重难点分析</w:t>
      </w:r>
      <w:r>
        <w:rPr>
          <w:rFonts w:hint="eastAsia" w:ascii="宋体" w:hAnsi="宋体" w:cs="宋体"/>
          <w:color w:val="000000"/>
          <w:sz w:val="24"/>
          <w:szCs w:val="24"/>
          <w:highlight w:val="none"/>
        </w:rPr>
        <w:t xml:space="preserve">、</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安全文明管理制度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人员考核管理制度</w:t>
      </w:r>
      <w:r>
        <w:rPr>
          <w:rFonts w:hint="eastAsia" w:ascii="宋体" w:hAnsi="宋体" w:cs="宋体"/>
          <w:color w:val="000000"/>
          <w:sz w:val="24"/>
          <w:szCs w:val="24"/>
          <w:highlight w:val="none"/>
        </w:rPr>
        <w:t xml:space="preserve">、物业档案及台账管理制度、公共设施管理服务方案、学生公寓服务方案、环境卫生服务方案、楼宇综合管理服务方案、绿化养护服务方案、小型维修服务方案、水电系统维护方案、配电房/开闭所专项运行维护服务方案、应急处理预案、进退场交接方案、接收人员安置及人员稳定性方案、特色服务方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5.中标人须对物业服务从业人员实施严格管理，所有人员统一着装、佩戴工作标识，做到挂牌上岗、行为规范、服务热情；要求工作人员文明作业、使用文明用语，工作期间保持现场安静，工作场所内严禁吸烟。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6.项目经理须每日对所负责管理范围的各项物业服务工作开展全面巡查，对发现的问题及时组织整改；定期对所辖工作人员开展业务技能及服务礼仪培训教育，持续提升物业服务质量。</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7.中标人须树立成本节约意识，降低各类资源消耗，做好校园节电、节水工作，严格落实垃圾分类相关要求。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8.中标人须做好与政府相关职能部门的沟通对接工作，持续改进物业服务工作，规范项目运营管理机制，为师生提供安全、整洁、便捷、高效、舒心的物业服务。</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9.中标人须制定完善的日常物业服务实施方案，对于校园重大活动须单独制定专项服务计划书；严格落实并完成学校交办的其他物业管理服务相关事项。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10.中标人须真实、准确、及时填写各类工作检查、值班值守等记录，做好物业管理档案资料及各类工作台账的建立、整理与保管工作，确保档案台账完整、可追溯。</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11.因中标人管理失误造成校园设施设备损坏的，可维修的由中标人承担全部维修费用，无法维修的由中标人按照资产原值照价赔偿。</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12.中标人须负责对校园现有后勤信息化软件进行日常管理维护，同时配备与本项目物业服务需求相匹配的信息化管理软件，软件功能须至少包含</w:t>
      </w:r>
      <w:r>
        <w:rPr>
          <w:rFonts w:hint="eastAsia" w:ascii="宋体" w:hAnsi="宋体" w:cs="宋体"/>
          <w:color w:val="000000"/>
          <w:sz w:val="24"/>
          <w:szCs w:val="24"/>
          <w:highlight w:val="none"/>
        </w:rPr>
        <w:t xml:space="preserve">维修保修管理、学生公寓管理、高校场馆管理</w:t>
      </w:r>
      <w:r>
        <w:rPr>
          <w:rFonts w:hint="eastAsia" w:ascii="宋体" w:hAnsi="宋体" w:cs="宋体"/>
          <w:color w:val="000000"/>
          <w:sz w:val="24"/>
          <w:szCs w:val="24"/>
          <w:highlight w:val="none"/>
        </w:rPr>
        <w:t xml:space="preserve">等核心功能。</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中标人须建立完善的保密管理制度，制度内容至少包含：①明确重点要害岗位的保密职责；②制定涉密工作岗位的具体保密要求。中标人须根据采购人要求与涉密工作岗位的服务人员签订保密协议，且保密协议须向采购人报备。</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中标人须做好校园重大活动后勤保障工作，具体要求：①制定标准化保障流程：全面详细了解活动任务要求，配合采购人制定重大活动后勤保障工作流程，并根据工作安排制定详细的后勤保障实施计划；②规范实施保障：按照保障计划在活动关键区域和重点部位进行人员、物资部署，确保活动顺利开展；对活动区域开展全面安全检查，及时发现并排除安全隐患；以礼貌、专业的服务态度对待活动来宾，展现校园良好形象；③做好收尾工作：活动结束后对现场进行全面检查，及时完成场地清理、物资归位等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15.中标人须按照采购人要求，做好校内大型活动、临时活动、办公室调整等工作所需的桌椅、帐篷、音响设备等物品的搬运、场所布置/装饰及其他相关辅助工作。</w:t>
      </w:r>
      <w:r>
        <w:rPr>
          <w:highlight w:val="none"/>
        </w:rPr>
      </w:r>
      <w:r/>
    </w:p>
    <w:p>
      <w:pPr>
        <w:pStyle w:val="958"/>
        <w:ind w:firstLine="562"/>
        <w:jc w:val="left"/>
        <w:spacing w:line="315" w:lineRule="exact"/>
        <w:rPr>
          <w:rFonts w:ascii="宋体" w:hAnsi="宋体" w:cs="宋体"/>
          <w:b/>
          <w:color w:val="000000"/>
          <w:sz w:val="28"/>
          <w:highlight w:val="none"/>
        </w:rPr>
      </w:pPr>
      <w:r>
        <w:rPr>
          <w:rFonts w:hint="eastAsia" w:ascii="宋体" w:hAnsi="宋体" w:cs="宋体"/>
          <w:b/>
          <w:color w:val="000000"/>
          <w:sz w:val="28"/>
          <w:highlight w:val="none"/>
        </w:rPr>
        <w:t xml:space="preserve">三、付款方式</w:t>
      </w:r>
      <w:r>
        <w:rPr>
          <w:highlight w:val="none"/>
        </w:rPr>
      </w:r>
      <w:r/>
    </w:p>
    <w:p>
      <w:pPr>
        <w:pStyle w:val="958"/>
        <w:ind w:firstLine="480"/>
        <w:jc w:val="left"/>
        <w:spacing w:line="440" w:lineRule="exact"/>
        <w:rPr>
          <w:bCs/>
          <w:color w:val="000000"/>
          <w:sz w:val="24"/>
          <w:szCs w:val="24"/>
          <w:highlight w:val="none"/>
        </w:rPr>
      </w:pPr>
      <w:r>
        <w:rPr>
          <w:rFonts w:ascii="宋体" w:hAnsi="宋体" w:cs="宋体"/>
          <w:bCs/>
          <w:color w:val="000000"/>
          <w:sz w:val="24"/>
          <w:szCs w:val="24"/>
          <w:highlight w:val="none"/>
        </w:rPr>
        <w:t xml:space="preserve">委托物业服务费用的支付</w:t>
      </w:r>
      <w:r>
        <w:rPr>
          <w:highlight w:val="none"/>
        </w:rPr>
      </w:r>
      <w:r/>
    </w:p>
    <w:p>
      <w:pPr>
        <w:pStyle w:val="958"/>
        <w:ind w:firstLine="480"/>
        <w:jc w:val="left"/>
        <w:spacing w:line="440" w:lineRule="exact"/>
        <w:rPr>
          <w:bCs/>
          <w:i/>
          <w:color w:val="000000"/>
          <w:sz w:val="24"/>
          <w:szCs w:val="24"/>
          <w:highlight w:val="none"/>
          <w:u w:val="single"/>
        </w:rPr>
      </w:pPr>
      <w:r>
        <w:rPr>
          <w:rFonts w:ascii="宋体" w:hAnsi="宋体" w:cs="宋体"/>
          <w:bCs/>
          <w:i/>
          <w:color w:val="000000"/>
          <w:sz w:val="24"/>
          <w:szCs w:val="24"/>
          <w:highlight w:val="none"/>
          <w:u w:val="single"/>
        </w:rPr>
        <w:t xml:space="preserve">1.中标价款为包干总价，包含但不限于人员费用（工资、福利待遇、业务培训费、员工服装费、社会保险费、加班费等）、服务所用设备工具购置费用、服务所用材料消耗费用、管理费用、利润、税金等项目运营所需的全部费用。采购人在中标价款之外，不再向中标人支付任何其他费用。</w:t>
      </w:r>
      <w:r>
        <w:rPr>
          <w:highlight w:val="none"/>
        </w:rPr>
      </w:r>
      <w:r/>
    </w:p>
    <w:p>
      <w:pPr>
        <w:pStyle w:val="958"/>
        <w:ind w:firstLine="480"/>
        <w:jc w:val="left"/>
        <w:spacing w:line="440" w:lineRule="exact"/>
        <w:rPr>
          <w:rFonts w:ascii="宋体" w:hAnsi="宋体" w:cs="宋体"/>
          <w:bCs/>
          <w:i/>
          <w:color w:val="000000"/>
          <w:sz w:val="24"/>
          <w:szCs w:val="24"/>
          <w:highlight w:val="none"/>
          <w:u w:val="single"/>
        </w:rPr>
      </w:pPr>
      <w:r>
        <w:rPr>
          <w:highlight w:val="none"/>
        </w:rPr>
      </w:r>
      <w:bookmarkStart w:id="196" w:name="OLE_LINK2"/>
      <w:r>
        <w:rPr>
          <w:highlight w:val="none"/>
        </w:rPr>
      </w:r>
      <w:bookmarkStart w:id="197" w:name="OLE_LINK3"/>
      <w:r>
        <w:rPr>
          <w:rFonts w:ascii="宋体" w:hAnsi="宋体" w:cs="宋体"/>
          <w:bCs/>
          <w:i/>
          <w:color w:val="000000"/>
          <w:sz w:val="24"/>
          <w:szCs w:val="24"/>
          <w:highlight w:val="none"/>
          <w:u w:val="single"/>
        </w:rPr>
        <w:t xml:space="preserve">2.投标人在投标报价时，须充分考虑所有可能影响报价的价格因素；投标成交后，项目总价（含小型维修耗材预算金额）实行包定，超出部分由中标人承担，三年服务期内不予调整。即便遇国家出台政策提高最低工资标准和最低社会保险缴纳基数，物业服务费仍不予调整。</w:t>
      </w:r>
      <w:bookmarkEnd w:id="196"/>
      <w:r>
        <w:rPr>
          <w:highlight w:val="none"/>
        </w:rPr>
      </w:r>
      <w:bookmarkEnd w:id="197"/>
      <w:r>
        <w:rPr>
          <w:highlight w:val="none"/>
        </w:rPr>
      </w:r>
      <w:r/>
    </w:p>
    <w:p>
      <w:pPr>
        <w:pStyle w:val="958"/>
        <w:ind w:firstLine="480"/>
        <w:jc w:val="left"/>
        <w:spacing w:line="440" w:lineRule="exact"/>
        <w:rPr>
          <w:rFonts w:ascii="宋体" w:hAnsi="宋体" w:cs="宋体"/>
          <w:bCs/>
          <w:color w:val="000000"/>
          <w:sz w:val="24"/>
          <w:szCs w:val="24"/>
          <w:highlight w:val="none"/>
        </w:rPr>
      </w:pPr>
      <w:r>
        <w:rPr>
          <w:rFonts w:ascii="宋体" w:hAnsi="宋体" w:cs="宋体"/>
          <w:bCs/>
          <w:color w:val="000000"/>
          <w:sz w:val="24"/>
          <w:szCs w:val="24"/>
          <w:highlight w:val="none"/>
        </w:rPr>
        <w:t xml:space="preserve">3.价款支付方式：采购人根据物业服务季度考核结果分期支付委托物业服务费用，每3个月支付一次；中标人须按采购人要求开具合法有效的物业服务增值税发票，具体结算时间由双方在合同中另行约定。</w:t>
      </w:r>
      <w:r>
        <w:rPr>
          <w:highlight w:val="none"/>
        </w:rPr>
      </w:r>
      <w:r/>
    </w:p>
    <w:p>
      <w:pPr>
        <w:pStyle w:val="958"/>
        <w:ind w:firstLine="480"/>
        <w:jc w:val="left"/>
        <w:spacing w:line="440" w:lineRule="exact"/>
        <w:rPr>
          <w:bCs/>
          <w:color w:val="000000"/>
          <w:sz w:val="24"/>
          <w:szCs w:val="24"/>
          <w:highlight w:val="none"/>
        </w:rPr>
      </w:pPr>
      <w:r>
        <w:rPr>
          <w:rFonts w:ascii="宋体" w:hAnsi="宋体" w:cs="宋体"/>
          <w:bCs/>
          <w:color w:val="000000"/>
          <w:sz w:val="24"/>
          <w:szCs w:val="24"/>
          <w:highlight w:val="none"/>
        </w:rPr>
        <w:t xml:space="preserve">4.合同履行情况考核及支付标准：物业服务考核每3个月开展一次，考核得分在85分及以上的，采购人按合同约定足额支付当期合同款；考核得分在85分以下的，每低1分扣除当期合同款的1％。全年共计支付四次。考核得分低于75分（不含75分）的，采购人责令中标人限期整改；中标人连续2次或累计3次考核得分低于75分（不含75分）的，采购人有权单方终止合同。</w:t>
      </w:r>
      <w:r>
        <w:rPr>
          <w:highlight w:val="none"/>
        </w:rPr>
      </w:r>
      <w:r/>
    </w:p>
    <w:p>
      <w:pPr>
        <w:pStyle w:val="958"/>
        <w:ind w:firstLine="480"/>
        <w:jc w:val="left"/>
        <w:spacing w:line="440" w:lineRule="exact"/>
        <w:rPr>
          <w:bCs/>
          <w:color w:val="000000"/>
          <w:sz w:val="24"/>
          <w:szCs w:val="24"/>
          <w:highlight w:val="none"/>
        </w:rPr>
      </w:pPr>
      <w:r>
        <w:rPr>
          <w:rFonts w:ascii="宋体" w:hAnsi="宋体" w:cs="宋体"/>
          <w:bCs/>
          <w:color w:val="000000"/>
          <w:sz w:val="24"/>
          <w:szCs w:val="24"/>
          <w:highlight w:val="none"/>
        </w:rPr>
        <w:t xml:space="preserve">5.中标人须在签订物业服务合同后5个工作日内，向采购人指定账户缴纳履约保证金人民币壹拾伍万元整（¥150000.00）。受托管理期满且中标人无任何违约情形的，采购人在期满后无息退还该保证金；若合同在期满前非因中标人违约原因而终止的，中标人有权要求采购人在合同终止手续办理完成后15个工作日内无息退还该保证金；若因中标人违约导致合同终止的，该保证金将根据合同约定不予退还，或用于抵扣相应违约金。</w:t>
      </w:r>
      <w:r>
        <w:rPr>
          <w:highlight w:val="none"/>
        </w:rPr>
      </w:r>
      <w:r/>
    </w:p>
    <w:p>
      <w:pPr>
        <w:pStyle w:val="958"/>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spacing w:line="120" w:lineRule="exact"/>
        <w:rPr>
          <w:color w:val="000000"/>
          <w:highlight w:val="none"/>
        </w:rPr>
      </w:pPr>
      <w:r>
        <w:rPr>
          <w:color w:val="000000"/>
          <w:highlight w:val="none"/>
        </w:rPr>
      </w:r>
      <w:r>
        <w:rPr>
          <w:highlight w:val="none"/>
        </w:rPr>
      </w:r>
      <w:r/>
    </w:p>
    <w:p>
      <w:pPr>
        <w:pStyle w:val="958"/>
        <w:jc w:val="left"/>
        <w:spacing w:line="315" w:lineRule="exact"/>
        <w:rPr>
          <w:rFonts w:hint="eastAsia" w:ascii="黑体" w:hAnsi="黑体" w:eastAsia="黑体" w:cs="黑体"/>
          <w:color w:val="000000"/>
          <w:sz w:val="28"/>
          <w:szCs w:val="28"/>
          <w:highlight w:val="none"/>
        </w:rPr>
      </w:pPr>
      <w:r>
        <w:rPr>
          <w:rFonts w:hint="eastAsia" w:ascii="宋体" w:hAnsi="宋体" w:cs="宋体"/>
          <w:color w:val="000000"/>
          <w:highlight w:val="none"/>
        </w:rPr>
        <w:br w:type="page" w:clear="all"/>
      </w:r>
      <w:r>
        <w:rPr>
          <w:rFonts w:hint="eastAsia" w:ascii="黑体" w:hAnsi="黑体" w:eastAsia="黑体" w:cs="黑体"/>
          <w:color w:val="000000"/>
          <w:sz w:val="28"/>
          <w:szCs w:val="28"/>
          <w:highlight w:val="none"/>
        </w:rPr>
        <w:t xml:space="preserve">附件：</w:t>
      </w:r>
      <w:r>
        <w:rPr>
          <w:highlight w:val="none"/>
        </w:rPr>
      </w:r>
      <w:r/>
    </w:p>
    <w:p>
      <w:pPr>
        <w:pStyle w:val="958"/>
        <w:jc w:val="center"/>
        <w:spacing w:line="435" w:lineRule="exact"/>
        <w:rPr>
          <w:b/>
          <w:bCs/>
          <w:color w:val="000000"/>
          <w:sz w:val="24"/>
          <w:szCs w:val="24"/>
          <w:highlight w:val="none"/>
        </w:rPr>
      </w:pPr>
      <w:r>
        <w:rPr>
          <w:rFonts w:ascii="宋体" w:hAnsi="宋体" w:cs="宋体"/>
          <w:b/>
          <w:bCs/>
          <w:color w:val="000000"/>
          <w:sz w:val="24"/>
          <w:szCs w:val="24"/>
          <w:highlight w:val="none"/>
        </w:rPr>
        <w:t xml:space="preserve">江苏农林职业技术学院茅山校区物业服务委托管理考核办法</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一、目的和适用范围</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（一）目的</w:t>
      </w:r>
      <w:r>
        <w:rPr>
          <w:highlight w:val="none"/>
        </w:rPr>
      </w:r>
      <w:r/>
    </w:p>
    <w:p>
      <w:pPr>
        <w:pStyle w:val="958"/>
        <w:ind w:firstLine="600"/>
        <w:jc w:val="left"/>
        <w:spacing w:line="435" w:lineRule="exact"/>
        <w:rPr>
          <w:color w:val="000000"/>
          <w:sz w:val="24"/>
          <w:szCs w:val="24"/>
          <w:highlight w:val="none"/>
        </w:rPr>
      </w:pPr>
      <w:r>
        <w:rPr>
          <w:rFonts w:ascii="宋体" w:hAnsi="宋体" w:cs="宋体"/>
          <w:color w:val="000000"/>
          <w:sz w:val="24"/>
          <w:szCs w:val="24"/>
          <w:highlight w:val="none"/>
        </w:rPr>
        <w:t xml:space="preserve">通过对受托物业公司的物业服务工作开展常态化检查、规范化考核，对合同履行过程实施有效管控，明确合同双方的服务要求与责任义务，维护学校和广大师生的合法权益。</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（二）范围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本办法适用于江苏农林职业技术学院茅山校区对受托开展物业管理服务的物业公司的各项工作检查与服务考核。</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二、考核方与被考核方</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（一）考核方</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江苏农林职业技术学院茅山校区</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（二）被考核方</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承接江苏农林职业技术学院茅山校区物业管理服务项目的中标物业公司</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三、工作程序</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1.江苏农林职业技术学院茅山校区安排专人对受托物业公司所属管理范围的日常物业服务工作完成情况开展常态化检查，做好检查记录。</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2.每个付款周期前，考核方组织相关部门对物业公司当期的物业管理服务工作开展综合考评，形成考核意见。</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四、考核方式</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由江苏农林职业技术学院茅山校区牵头组织，联合校区学工、教务、安保等相关部门，每3个月开展一次物业服务综合考核，考核采取现场检查、台账核查、师生满意度调查等相结合的方式进行。</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五、考核结果运用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物业服务考核得分在85分及以上的，采购人按物业服务合同约定足额支付当期合同款；考核得分在85分以下的，每低1分扣除当期合同款的1％。考核得分低于75分（不含75分）的，采购人责令中标人限期整改；中标人连续2次或累计3次考核得分低于75分（不含75分）的，采购人有权单方终止物业服务合同。</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江苏农林职业技术学院茅山校区物业管理量化考核表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为推进物业服务委托管理工作的规范化与制度化，加强对物业公司的监督，增加工作的透明度，特制定本考核实施细则。若发现本考核实施细则中未涉及到的违规行为，根据合同及其附件参照细则中相关条款处理，因中标单位违规所引发的其它问题由学校另行处理，责任重大的将依法处理。</w:t>
      </w:r>
      <w:r>
        <w:rPr>
          <w:highlight w:val="none"/>
        </w:rPr>
      </w:r>
      <w:r/>
    </w:p>
    <w:p>
      <w:pPr>
        <w:pStyle w:val="958"/>
        <w:jc w:val="cente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江苏农林职业技术学院茅山校区物业管理量化考核表（总分100分）</w:t>
      </w:r>
      <w:r>
        <w:rPr>
          <w:highlight w:val="none"/>
        </w:rPr>
      </w:r>
      <w:r/>
    </w:p>
    <w:tbl>
      <w:tblPr>
        <w:tblW w:w="8284"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4508"/>
        <w:gridCol w:w="2897"/>
      </w:tblGrid>
      <w:tr>
        <w:trPr/>
        <w:tc>
          <w:tcPr>
            <w:tcW w:w="879"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w:t>
            </w:r>
            <w:r>
              <w:rPr>
                <w:highlight w:val="none"/>
              </w:rPr>
            </w:r>
            <w:r/>
          </w:p>
        </w:tc>
        <w:tc>
          <w:tcPr>
            <w:tcW w:w="4508"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评分要点</w:t>
            </w:r>
            <w:r>
              <w:rPr>
                <w:highlight w:val="none"/>
              </w:rPr>
            </w:r>
            <w:r/>
          </w:p>
        </w:tc>
        <w:tc>
          <w:tcPr>
            <w:tcW w:w="2897"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扣分规则</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人员管理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按照招标文件要求配备物业服务工作人员，人员资质、数量符合约定。</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人员配备不符合要求，一人次扣2分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物业服务人员服务热情周到，文明用语，不得与师生发生任何形式的冲突。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发生与师生冲突事件，一次扣2分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物业服务人员统一着工作服、佩戴工号牌上岗，仪容仪表整洁、形象得体。</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未着工作服、未带工号牌、奇装异服，有一例扣1分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物业服务人员遵纪守法，恪守职业道德，不发生任何违法乱纪现象。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发生违法乱纪行为，有一例扣2分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学生公寓管理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严格执行学校学生宿舍管理相关规定，实行24小时门卫值班制度；积极协助校区相关部门开展公寓区学生教育管理工作。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未按要求开展相关工作，一次扣2分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及时、规范办理学生住宿、调宿、退宿手续，确保学生住宿档案完整、信息准确无误。</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未按要求办理相关手续，一次扣1分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严格管控学生公寓人员进出，严禁闲杂人员进入，公寓区内无兜售物品、商业宣传等现象。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存在闲杂人员进入、兜售物品等情况，一次扣2分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楼宇管理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按照学校规定时间开关楼宇门窗，做好教室开放使用管理工作，保障教学活动正常开展。</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未按规定执行开关门制度，一次扣1分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定期对楼宇设施开展检查与维修，及时处置设施故障，保证教学、生活等秩序正常运转。</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因设施故障处理不及时影响正常教学秩序，一次扣2分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楼宇公共区域整洁、无异味、无杂物，门窗、墙面、玻璃等部位整洁、无积灰、无蜘蛛网。</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环境卫生</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清洁抹布、扫把、拖把等保洁工具定点规范存放，摆放整齐。</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未按规定存放保洁工具，一次扣1分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会议室、楼道、走廊、卫生间、楼宇周边等卫生包干区整洁、无异味、无杂物，水面无白色垃圾，门窗、墙面、玻璃等整洁、无积灰、无蜘蛛网。</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每日及时清理垃圾箱垃圾，做好垃圾箱日常保洁、垃圾外运工作，做到日产日清。</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按照校方要求做好大型活动临时性保洁工作，保障活动现场环境整洁。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及时清理未经学校同意的乱张贴广告、商业宣传单等，保持校园环境整洁。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发现乱张贴未及时清理，一次扣1分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绿化服务</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校园绿化植物养护到位，无大面积枯萎、黄叶、缺株、缺水等养护不当现象。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校园绿化植物修剪整形规范、除草及时，绿植无疯长现象，绿化景观效果良好。</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绿化植物病虫害防治及时、措施有效，无病虫害成灾情况；绿化作业时做好安全防护措施。</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规范填写绿化服务工作记录，记录内容完整、填写规范。</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维护与维修</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每日对校园设施开展巡查，发现问题及时维修，保持水电24小时正常供应；建立严格的维修管理制度，配备专业维修人员并持证上岗。</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维修服务及时到位，小修当日完成，大修二日内完成；影响正常教学的报修必须立即赶到现场进行抢修。</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未按时完成维修，一次扣1分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对教室、宿舍、会议室等重点区域设施重点维护，保障楼内教学、科研工作正常运行；遇大型活动、考试等，提前做好设施维修检查，确保水电到位、设备设施完好。</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因设施维护不到位影响使用，一次扣2分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对楼内设备、设施定期开展维护、保养，更换维修材料确保质量合格、型号统一，并建立完善的维修档案。</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做好管理区域内学校固定资产的管理、维护工作，保障各项资产完好、安全和正常运转，不得私自动用学校任何物品。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会议及活动保障</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会议及活动场地公共设施、电器设备、灯光系统等设施完好，运行正常。</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因设施问题影响使用，一次扣2分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按要求提供会务茶水服务，及时完成会场中间保洁、会议中途桌椅的调整等工作。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会务服务人员服务态度良好、服务工作规范。</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服务态度差或服务不规范，一次扣1分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安全管理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按照规定及时开、关闭照明灯，杜绝常流水现象，做好校园节水节电工作。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每周至少开展1次安全检查并做好完整的安全检查记录；负责水电及公用设备的日常巡查，发现安全隐患及时上报并处置。</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严格按照规定负责楼宇大门的开启和关闭，做好学生公寓物品及外来人员进出管理等安全工作。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严禁校园内私拉乱接电线，禁止电瓶车进楼停放或充电，卫生间、通道口等区域禁止堆放闲杂物品；根据各类突发事件做好应急管理工作。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保障校园排水管道、化粪池、检查井等通畅、无污物、无溢漏，地下室无积水。</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其他</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按照招标文件及物业服务合同约定的其他要求开展工作。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未按规定执行，视严重情况酌情扣分</w:t>
            </w:r>
            <w:r>
              <w:rPr>
                <w:highlight w:val="none"/>
              </w:rPr>
            </w:r>
            <w:r/>
          </w:p>
        </w:tc>
      </w:tr>
      <w:tr>
        <w:trPr/>
        <w:tc>
          <w:tcPr>
            <w:tcW w:w="879" w:type="dxa"/>
            <w:vAlign w:val="center"/>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c>
          <w:tcPr>
            <w:tcW w:w="4508" w:type="dxa"/>
            <w:vAlign w:val="center"/>
            <w:textDirection w:val="lrTb"/>
            <w:noWrap w:val="false"/>
          </w:tcPr>
          <w:p>
            <w:pPr>
              <w:pStyle w:val="958"/>
              <w:ind w:firstLine="140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w:t>
            </w:r>
            <w:r>
              <w:rPr>
                <w:highlight w:val="none"/>
              </w:rPr>
            </w:r>
            <w:r/>
          </w:p>
        </w:tc>
      </w:tr>
    </w:tbl>
    <w:p>
      <w:pPr>
        <w:pStyle w:val="958"/>
        <w:jc w:val="center"/>
        <w:spacing w:line="315" w:lineRule="exact"/>
        <w:rPr>
          <w:b/>
          <w:color w:val="000000"/>
          <w:highlight w:val="none"/>
        </w:rPr>
      </w:pPr>
      <w:r>
        <w:rPr>
          <w:b/>
          <w:color w:val="000000"/>
          <w:highlight w:val="none"/>
        </w:rPr>
      </w:r>
      <w:r>
        <w:rPr>
          <w:highlight w:val="none"/>
        </w:rPr>
      </w:r>
      <w:r/>
    </w:p>
    <w:p>
      <w:pPr>
        <w:pStyle w:val="958"/>
        <w:spacing w:line="120" w:lineRule="exact"/>
        <w:rPr>
          <w:color w:val="000000"/>
          <w:highlight w:val="none"/>
        </w:rPr>
      </w:pPr>
      <w:r>
        <w:rPr>
          <w:color w:val="000000"/>
          <w:highlight w:val="none"/>
        </w:rPr>
      </w:r>
      <w:r>
        <w:rPr>
          <w:highlight w:val="none"/>
        </w:rPr>
      </w:r>
      <w:r/>
    </w:p>
    <w:p>
      <w:pPr>
        <w:pStyle w:val="958"/>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58"/>
        <w:ind w:firstLine="602"/>
        <w:rPr>
          <w:rFonts w:hint="eastAsia"/>
          <w:b/>
          <w:i/>
          <w:color w:val="000000"/>
          <w:sz w:val="30"/>
          <w:szCs w:val="32"/>
          <w:highlight w:val="none"/>
          <w:u w:val="single"/>
        </w:rPr>
      </w:pPr>
      <w:r>
        <w:rPr>
          <w:rFonts w:hint="eastAsia"/>
          <w:b/>
          <w:i/>
          <w:color w:val="000000"/>
          <w:sz w:val="30"/>
          <w:szCs w:val="32"/>
          <w:highlight w:val="none"/>
          <w:u w:val="single"/>
        </w:rPr>
      </w:r>
      <w:r>
        <w:rPr>
          <w:highlight w:val="none"/>
        </w:rPr>
      </w:r>
      <w:r/>
    </w:p>
    <w:p>
      <w:pPr>
        <w:pStyle w:val="958"/>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58"/>
        <w:tabs>
          <w:tab w:val="left" w:pos="6200" w:leader="none"/>
        </w:tabs>
        <w:rPr>
          <w:rFonts w:ascii="Arial" w:hAnsi="Arial" w:cs="Arial"/>
          <w:b/>
          <w:color w:val="000000"/>
          <w:sz w:val="32"/>
          <w:highlight w:val="none"/>
        </w:rPr>
      </w:pPr>
      <w:r>
        <w:rPr>
          <w:rFonts w:ascii="Arial" w:hAnsi="Arial" w:cs="Arial"/>
          <w:b/>
          <w:color w:val="000000"/>
          <w:sz w:val="32"/>
          <w:highlight w:val="none"/>
        </w:rPr>
      </w:r>
      <w:r>
        <w:rPr>
          <w:highlight w:val="none"/>
        </w:rPr>
      </w:r>
      <w:r/>
    </w:p>
    <w:p>
      <w:pPr>
        <w:pStyle w:val="958"/>
        <w:rPr>
          <w:rFonts w:hint="eastAsia" w:ascii="黑体" w:eastAsia="黑体"/>
          <w:bCs/>
          <w:color w:val="000000"/>
          <w:sz w:val="44"/>
          <w:highlight w:val="none"/>
        </w:rPr>
      </w:pPr>
      <w:r>
        <w:rPr>
          <w:highlight w:val="none"/>
        </w:rPr>
      </w:r>
      <w:bookmarkStart w:id="198" w:name="_Toc120614281"/>
      <w:r>
        <w:rPr>
          <w:highlight w:val="none"/>
        </w:rPr>
      </w:r>
      <w:r/>
    </w:p>
    <w:p>
      <w:pPr>
        <w:pStyle w:val="958"/>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58"/>
        <w:rPr>
          <w:color w:val="000000"/>
          <w:highlight w:val="none"/>
        </w:rPr>
      </w:pPr>
      <w:r>
        <w:rPr>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br w:type="page" w:clear="all"/>
      </w: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1065"/>
        <w:ind w:firstLine="439"/>
        <w:rPr>
          <w:rFonts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58"/>
              <w:jc w:val="center"/>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1610" w:type="dxa"/>
            <w:vAlign w:val="top"/>
            <w:textDirection w:val="lrTb"/>
            <w:noWrap w:val="false"/>
          </w:tcPr>
          <w:p>
            <w:pPr>
              <w:pStyle w:val="958"/>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中标候选人数量</w:t>
            </w:r>
            <w:r>
              <w:rPr>
                <w:highlight w:val="none"/>
              </w:rPr>
            </w:r>
            <w:r/>
          </w:p>
        </w:tc>
        <w:tc>
          <w:tcPr>
            <w:tcW w:w="4325" w:type="dxa"/>
            <w:vAlign w:val="top"/>
            <w:textDirection w:val="lrTb"/>
            <w:noWrap w:val="false"/>
          </w:tcPr>
          <w:p>
            <w:pPr>
              <w:pStyle w:val="958"/>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中标候选人的原则</w:t>
            </w:r>
            <w:r>
              <w:rPr>
                <w:highlight w:val="none"/>
              </w:rPr>
            </w:r>
            <w:r/>
          </w:p>
        </w:tc>
      </w:tr>
      <w:tr>
        <w:trPr/>
        <w:tc>
          <w:tcPr>
            <w:tcW w:w="1148" w:type="dxa"/>
            <w:vAlign w:val="top"/>
            <w:textDirection w:val="lrTb"/>
            <w:noWrap w:val="false"/>
          </w:tcPr>
          <w:p>
            <w:pPr>
              <w:pStyle w:val="958"/>
              <w:jc w:val="center"/>
              <w:rPr>
                <w:rFonts w:ascii="宋体" w:hAnsi="宋体"/>
                <w:color w:val="000000"/>
                <w:highlight w:val="none"/>
              </w:rPr>
            </w:pPr>
            <w:r>
              <w:rPr>
                <w:rFonts w:hint="eastAsia" w:ascii="宋体" w:hAnsi="宋体"/>
                <w:color w:val="000000"/>
                <w:highlight w:val="none"/>
              </w:rPr>
              <w:t xml:space="preserve">1</w:t>
            </w:r>
            <w:r>
              <w:rPr>
                <w:highlight w:val="none"/>
              </w:rPr>
            </w:r>
            <w:r/>
          </w:p>
        </w:tc>
        <w:tc>
          <w:tcPr>
            <w:tcW w:w="1610" w:type="dxa"/>
            <w:vAlign w:val="top"/>
            <w:textDirection w:val="lrTb"/>
            <w:noWrap w:val="false"/>
          </w:tcPr>
          <w:p>
            <w:pPr>
              <w:pStyle w:val="958"/>
              <w:jc w:val="center"/>
              <w:rPr>
                <w:rFonts w:ascii="宋体" w:hAnsi="宋体"/>
                <w:color w:val="000000"/>
                <w:highlight w:val="none"/>
              </w:rPr>
            </w:pPr>
            <w:r>
              <w:rPr>
                <w:rFonts w:hint="eastAsia" w:ascii="宋体" w:hAnsi="宋体"/>
                <w:color w:val="000000"/>
                <w:highlight w:val="none"/>
              </w:rPr>
              <w:t xml:space="preserve">1</w:t>
            </w:r>
            <w:r>
              <w:rPr>
                <w:highlight w:val="none"/>
              </w:rPr>
            </w:r>
            <w:r/>
          </w:p>
        </w:tc>
        <w:tc>
          <w:tcPr>
            <w:tcW w:w="4325" w:type="dxa"/>
            <w:vAlign w:val="top"/>
            <w:textDirection w:val="lrTb"/>
            <w:noWrap w:val="false"/>
          </w:tcPr>
          <w:p>
            <w:pPr>
              <w:pStyle w:val="958"/>
              <w:jc w:val="left"/>
              <w:rPr>
                <w:rFonts w:hint="eastAsia" w:ascii="宋体" w:hAnsi="宋体"/>
                <w:color w:val="000000"/>
                <w:highlight w:val="none"/>
              </w:rPr>
            </w:pPr>
            <w:r>
              <w:rPr>
                <w:rFonts w:hint="eastAsia" w:ascii="宋体" w:hAnsi="宋体"/>
                <w:color w:val="000000"/>
                <w:highlight w:val="none"/>
              </w:rPr>
              <w:t xml:space="preserve">满足招标文件全部实质性要求，且按照评审因素的量化指标评审得分最高的投标人为中标候选人。</w:t>
            </w:r>
            <w:r>
              <w:rPr>
                <w:highlight w:val="none"/>
              </w:rPr>
            </w:r>
            <w:r/>
          </w:p>
        </w:tc>
      </w:tr>
    </w:tbl>
    <w:p>
      <w:pPr>
        <w:pStyle w:val="1065"/>
        <w:ind w:firstLine="441"/>
        <w:spacing w:line="0" w:lineRule="atLeast"/>
        <w:rPr>
          <w:rFonts w:hint="eastAsia" w:ascii="宋体" w:hAnsi="宋体"/>
          <w:b/>
          <w:color w:val="000000"/>
          <w:highlight w:val="none"/>
        </w:rPr>
      </w:pPr>
      <w:r>
        <w:rPr>
          <w:rFonts w:hint="eastAsia" w:ascii="宋体" w:hAnsi="宋体"/>
          <w:b/>
          <w:color w:val="000000"/>
          <w:highlight w:val="none"/>
        </w:rPr>
        <w:t xml:space="preserve">政府采购政策功能落实</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highlight w:val="none"/>
        </w:rPr>
      </w:r>
      <w:r/>
    </w:p>
    <w:p>
      <w:pPr>
        <w:pStyle w:val="1065"/>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（1）本项目对小型和微型企业提供的服务给予</w:t>
      </w:r>
      <w:r>
        <w:rPr>
          <w:rFonts w:hint="eastAsia" w:ascii="宋体" w:hAnsi="宋体"/>
          <w:color w:val="000000"/>
          <w:highlight w:val="none"/>
          <w:u w:val="single"/>
        </w:rPr>
        <w:t xml:space="preserve">10%</w:t>
      </w:r>
      <w:r>
        <w:rPr>
          <w:rFonts w:hint="eastAsia" w:ascii="宋体" w:hAnsi="宋体"/>
          <w:color w:val="000000"/>
          <w:highlight w:val="none"/>
        </w:rPr>
        <w:t xml:space="preserve">的扣除价格，用扣除后的价格参与评审。</w:t>
      </w:r>
      <w:r>
        <w:rPr>
          <w:highlight w:val="none"/>
        </w:rPr>
      </w:r>
      <w:r/>
    </w:p>
    <w:p>
      <w:pPr>
        <w:pStyle w:val="1065"/>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（2）供应商需按照采购文件的要求提供相应的《中小微企业声明函》。</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highlight w:val="none"/>
        </w:rPr>
      </w:r>
      <w:r/>
    </w:p>
    <w:p>
      <w:pPr>
        <w:pStyle w:val="106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highlight w:val="none"/>
        </w:rPr>
      </w:r>
      <w:r/>
    </w:p>
    <w:p>
      <w:pPr>
        <w:pStyle w:val="106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highlight w:val="none"/>
        </w:rPr>
      </w:r>
      <w:r/>
    </w:p>
    <w:p>
      <w:pPr>
        <w:pStyle w:val="106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highlight w:val="none"/>
        </w:rPr>
        <w:t xml:space="preserve">供应商如不提供上述证明文件，价格将不做相应扣除</w:t>
      </w:r>
      <w:r>
        <w:rPr>
          <w:rFonts w:hint="eastAsia" w:ascii="宋体" w:hAnsi="宋体"/>
          <w:color w:val="000000"/>
          <w:highlight w:val="none"/>
        </w:rPr>
        <w:t xml:space="preserve">。</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highlight w:val="none"/>
        </w:rPr>
      </w:r>
      <w:r/>
    </w:p>
    <w:p>
      <w:pPr>
        <w:pStyle w:val="1065"/>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highlight w:val="none"/>
        </w:rPr>
      </w:r>
      <w:r/>
    </w:p>
    <w:p>
      <w:pPr>
        <w:pStyle w:val="1065"/>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color w:val="000000"/>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color w:val="000000"/>
          <w:highlight w:val="none"/>
        </w:rPr>
        <w:t xml:space="preserve">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w:t>
      </w:r>
      <w:r>
        <w:rPr>
          <w:highlight w:val="none"/>
        </w:rPr>
      </w:r>
      <w:r/>
    </w:p>
    <w:p>
      <w:pPr>
        <w:pStyle w:val="1065"/>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rPr>
          <w:highlight w:val="none"/>
        </w:rPr>
      </w:r>
      <w:r/>
    </w:p>
    <w:p>
      <w:pPr>
        <w:pStyle w:val="1065"/>
        <w:ind w:firstLine="482"/>
        <w:spacing w:line="400" w:lineRule="exact"/>
        <w:rPr>
          <w:rFonts w:ascii="宋体" w:hAnsi="宋体"/>
          <w:b/>
          <w:bCs/>
          <w:color w:val="000000"/>
          <w:highlight w:val="none"/>
        </w:rPr>
      </w:pPr>
      <w:r>
        <w:rPr>
          <w:rFonts w:hint="eastAsia" w:ascii="宋体" w:hAnsi="宋体"/>
          <w:b/>
          <w:bCs/>
          <w:color w:val="000000"/>
          <w:highlight w:val="none"/>
        </w:rPr>
        <w:t xml:space="preserve">评分办法和评分标准</w:t>
      </w:r>
      <w:r>
        <w:rPr>
          <w:highlight w:val="none"/>
        </w:rPr>
      </w:r>
      <w:r/>
    </w:p>
    <w:tbl>
      <w:tblPr>
        <w:tblW w:w="8992"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642"/>
        <w:gridCol w:w="1117"/>
        <w:gridCol w:w="642"/>
        <w:gridCol w:w="6591"/>
      </w:tblGrid>
      <w:tr>
        <w:trPr>
          <w:trHeight w:val="60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b/>
                <w:color w:val="000000"/>
                <w:sz w:val="24"/>
                <w:szCs w:val="24"/>
                <w:highlight w:val="none"/>
              </w:rPr>
              <w:t xml:space="preserve">评分因素</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b/>
                <w:color w:val="000000"/>
                <w:sz w:val="24"/>
                <w:szCs w:val="24"/>
                <w:highlight w:val="none"/>
              </w:rPr>
              <w:t xml:space="preserve">分值</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center"/>
            <w:textDirection w:val="lrTb"/>
            <w:noWrap w:val="false"/>
          </w:tcPr>
          <w:p>
            <w:pPr>
              <w:pStyle w:val="958"/>
              <w:jc w:val="center"/>
              <w:spacing w:line="360" w:lineRule="exact"/>
              <w:rPr>
                <w:color w:val="000000"/>
                <w:sz w:val="24"/>
                <w:szCs w:val="24"/>
                <w:highlight w:val="none"/>
              </w:rPr>
            </w:pPr>
            <w:r>
              <w:rPr>
                <w:rFonts w:ascii="宋体" w:hAnsi="宋体" w:cs="宋体"/>
                <w:b/>
                <w:color w:val="000000"/>
                <w:sz w:val="24"/>
                <w:szCs w:val="24"/>
                <w:highlight w:val="none"/>
              </w:rPr>
              <w:t xml:space="preserve">评分标准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投标报价</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24</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ind w:firstLine="480"/>
              <w:jc w:val="left"/>
              <w:spacing w:line="360" w:lineRule="exact"/>
              <w:rPr>
                <w:color w:val="000000"/>
                <w:sz w:val="24"/>
                <w:szCs w:val="24"/>
                <w:highlight w:val="none"/>
              </w:rPr>
            </w:pPr>
            <w:r>
              <w:rPr>
                <w:rFonts w:hint="eastAsia" w:ascii="宋体" w:hAnsi="宋体" w:cs="宋体"/>
                <w:color w:val="000000"/>
                <w:sz w:val="24"/>
                <w:szCs w:val="24"/>
                <w:highlight w:val="none"/>
              </w:rPr>
              <w:t xml:space="preserve">价格分采用低价优先法计算，即满足招标文件要求且最后报价最低的投标报价为评标基准价，其价格分为满分24分，其它投标人的价格分统一按照下列公式计算：投标报价得分=（评标基准价/投标报价）×24分。分值保留小数点后2位。</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restart"/>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w:t>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eastAsia="宋体"/>
                <w:color w:val="000000"/>
                <w:sz w:val="24"/>
                <w:szCs w:val="24"/>
                <w:highlight w:val="none"/>
              </w:rPr>
            </w:pPr>
            <w:r>
              <w:rPr>
                <w:rFonts w:hint="eastAsia" w:ascii="宋体" w:hAnsi="宋体" w:cs="宋体"/>
                <w:color w:val="000000"/>
                <w:sz w:val="24"/>
                <w:szCs w:val="24"/>
                <w:highlight w:val="none"/>
                <w:lang w:val="en-US" w:eastAsia="zh-CN"/>
              </w:rPr>
              <w:t xml:space="preserve">50</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highlight w:val="none"/>
              </w:rPr>
            </w:r>
            <w:bookmarkStart w:id="199" w:name="OLE_LINK6"/>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项目认知及重难点分析</w:t>
            </w:r>
            <w:r>
              <w:rPr>
                <w:rFonts w:hint="eastAsia" w:ascii="宋体" w:hAnsi="宋体" w:cs="宋体"/>
                <w:b/>
                <w:bCs/>
                <w:color w:val="000000"/>
                <w:sz w:val="24"/>
                <w:szCs w:val="24"/>
                <w:highlight w:val="none"/>
              </w:rPr>
              <w:t xml:space="preserve">（3分）。</w:t>
            </w:r>
            <w:bookmarkStart w:id="200" w:name="OLE_LINK10"/>
            <w:r>
              <w:rPr>
                <w:highlight w:val="none"/>
              </w:rPr>
            </w:r>
            <w:bookmarkStart w:id="201" w:name="OLE_LINK9"/>
            <w:r>
              <w:rPr>
                <w:rFonts w:ascii="宋体" w:hAnsi="宋体" w:cs="宋体"/>
                <w:color w:val="000000"/>
                <w:sz w:val="24"/>
                <w:szCs w:val="24"/>
                <w:highlight w:val="none"/>
              </w:rPr>
              <w:t xml:space="preserve">投标人对本项目的项目背景、服务需求、工作范围进行全面认知分析，明确服务目标，并提供详细的项目服务重难点分析和针对性应对方案。</w:t>
            </w:r>
            <w:bookmarkEnd w:id="200"/>
            <w:r>
              <w:rPr>
                <w:highlight w:val="none"/>
              </w:rPr>
            </w:r>
            <w:bookmarkEnd w:id="201"/>
            <w:r>
              <w:rPr>
                <w:rFonts w:ascii="宋体" w:hAnsi="宋体" w:cs="宋体"/>
                <w:color w:val="000000"/>
                <w:sz w:val="24"/>
                <w:szCs w:val="24"/>
                <w:highlight w:val="none"/>
              </w:rPr>
              <w:t xml:space="preserve">上述内容须逐条叙述，方案要求全面合理、可行性强、操作性强、贴合项目实际。评委根据方案质量客观评定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得0分，未提供者不得分。</w:t>
            </w:r>
            <w:bookmarkEnd w:id="199"/>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2.2</w:t>
            </w:r>
            <w:r>
              <w:rPr>
                <w:rFonts w:ascii="宋体" w:hAnsi="宋体" w:cs="宋体"/>
                <w:b/>
                <w:bCs/>
                <w:color w:val="000000"/>
                <w:sz w:val="24"/>
                <w:szCs w:val="24"/>
                <w:highlight w:val="none"/>
              </w:rPr>
              <w:t xml:space="preserve">安全文明管理制度</w:t>
            </w:r>
            <w:r>
              <w:rPr>
                <w:rFonts w:hint="eastAsia" w:ascii="宋体" w:hAnsi="宋体" w:cs="宋体"/>
                <w:b/>
                <w:bCs/>
                <w:color w:val="000000"/>
                <w:sz w:val="24"/>
                <w:szCs w:val="24"/>
                <w:highlight w:val="none"/>
              </w:rPr>
              <w:t xml:space="preserve">（2分）。</w:t>
            </w:r>
            <w:r>
              <w:rPr>
                <w:rFonts w:ascii="宋体" w:hAnsi="宋体" w:cs="宋体"/>
                <w:color w:val="000000"/>
                <w:sz w:val="24"/>
                <w:szCs w:val="24"/>
                <w:highlight w:val="none"/>
              </w:rPr>
              <w:t xml:space="preserve">投标人根据本项目特点，制定安全文明管理制度。制度要求全面合理、可行性强、操作性强、贴合项目实际。评委根据制度质量客观评定</w:t>
            </w:r>
            <w:r>
              <w:rPr>
                <w:rFonts w:hint="eastAsia" w:ascii="宋体" w:hAnsi="宋体" w:cs="宋体"/>
                <w:color w:val="000000"/>
                <w:sz w:val="24"/>
                <w:szCs w:val="24"/>
                <w:highlight w:val="none"/>
              </w:rPr>
              <w:t xml:space="preserve">优于招标</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t xml:space="preserve">得2分，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2.3</w:t>
            </w:r>
            <w:r>
              <w:rPr>
                <w:rFonts w:ascii="宋体" w:hAnsi="宋体" w:cs="宋体"/>
                <w:b/>
                <w:bCs/>
                <w:color w:val="000000"/>
                <w:sz w:val="24"/>
                <w:szCs w:val="24"/>
                <w:highlight w:val="none"/>
              </w:rPr>
              <w:t xml:space="preserve">人员考核管理制度（</w:t>
            </w:r>
            <w:r>
              <w:rPr>
                <w:rFonts w:hint="eastAsia" w:ascii="宋体" w:hAnsi="宋体" w:cs="宋体"/>
                <w:b/>
                <w:bCs/>
                <w:color w:val="000000"/>
                <w:sz w:val="24"/>
                <w:szCs w:val="24"/>
                <w:highlight w:val="none"/>
                <w:lang w:val="en-US" w:eastAsia="zh-CN"/>
              </w:rPr>
              <w:t xml:space="preserve">3</w:t>
            </w:r>
            <w:r>
              <w:rPr>
                <w:rFonts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t xml:space="preserve">。</w:t>
            </w:r>
            <w:r>
              <w:rPr>
                <w:rFonts w:ascii="宋体" w:hAnsi="宋体" w:cs="宋体"/>
                <w:color w:val="000000"/>
                <w:sz w:val="24"/>
                <w:szCs w:val="24"/>
                <w:highlight w:val="none"/>
              </w:rPr>
              <w:t xml:space="preserve">投标人根据本项目特点，制定人员考核管理制度制度要求全面合理、可行性强、操作性强、贴合项目实际。评委根据制度质量客观评定</w:t>
            </w:r>
            <w:r>
              <w:rPr>
                <w:rFonts w:hint="eastAsia" w:ascii="宋体" w:hAnsi="宋体" w:cs="宋体"/>
                <w:color w:val="000000"/>
                <w:sz w:val="24"/>
                <w:szCs w:val="24"/>
                <w:highlight w:val="none"/>
              </w:rPr>
              <w:t xml:space="preserve">优于招标</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2.4物业档案及台账管理制度（</w:t>
            </w:r>
            <w:r>
              <w:rPr>
                <w:rFonts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t xml:space="preserve">分）。</w:t>
            </w:r>
            <w:r>
              <w:rPr>
                <w:rFonts w:ascii="宋体" w:hAnsi="宋体" w:cs="宋体"/>
                <w:color w:val="000000"/>
                <w:sz w:val="24"/>
                <w:szCs w:val="24"/>
                <w:highlight w:val="none"/>
              </w:rPr>
              <w:t xml:space="preserve">投标人根据本项目特点，制定物业档案及台账管理制度</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制度要求全面合理、可行性强、操作性强、贴合项目实际。评委根据制度质量客观评定</w:t>
            </w:r>
            <w:r>
              <w:rPr>
                <w:rFonts w:hint="eastAsia" w:ascii="宋体" w:hAnsi="宋体" w:cs="宋体"/>
                <w:color w:val="000000"/>
                <w:sz w:val="24"/>
                <w:szCs w:val="24"/>
                <w:highlight w:val="none"/>
              </w:rPr>
              <w:t xml:space="preserve">优于招标</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t xml:space="preserve">得2分，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2.5公共设施管理服务方案（</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rPr>
                <w:rFonts w:ascii="宋体" w:hAnsi="宋体" w:cs="宋体"/>
                <w:color w:val="000000"/>
                <w:sz w:val="24"/>
                <w:szCs w:val="24"/>
                <w:highlight w:val="none"/>
              </w:rPr>
              <w:t xml:space="preserve">投标人根据本项目特点，制定</w:t>
            </w:r>
            <w:r>
              <w:rPr>
                <w:bCs/>
                <w:color w:val="000000"/>
                <w:sz w:val="24"/>
                <w:szCs w:val="24"/>
                <w:highlight w:val="none"/>
              </w:rPr>
              <w:t xml:space="preserve">公共设施管理服务</w:t>
            </w:r>
            <w:r>
              <w:rPr>
                <w:rFonts w:hint="eastAsia"/>
                <w:bCs/>
                <w:color w:val="000000"/>
                <w:sz w:val="24"/>
                <w:szCs w:val="24"/>
                <w:highlight w:val="none"/>
              </w:rPr>
              <w:t xml:space="preserve">方案</w:t>
            </w:r>
            <w:r>
              <w:rPr>
                <w:rFonts w:hint="eastAsia"/>
                <w:bCs/>
                <w:color w:val="000000"/>
                <w:sz w:val="24"/>
                <w:szCs w:val="24"/>
                <w:highlight w:val="none"/>
                <w:lang w:eastAsia="zh-CN"/>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392"/>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2.6学生公寓管理服务方案（3分）。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投标人根据本项目特点，制定学生公寓管理服务方案</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2.7环境卫生管理服务方案（3分）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投标人根据本项目特点，制定环境卫生管理服务方案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2.8楼宇管理服务方案（3分）。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投标人根据本项目特点，制定楼宇管理服务方案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2.9绿化养护服务方案（3分）。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投标人根据本项目特点，制定绿化养护服务方案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2.10小型维修服务方案（3分）。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投标人根据本项目特点，制定小型维修服务方案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1184"/>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2.11水电系统维护方案（3分）。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投标人根据本项目特点，制定水电系统维护方案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1184"/>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ascii="宋体" w:hAnsi="宋体" w:cs="宋体"/>
                <w:b/>
                <w:bCs/>
                <w:color w:val="000000"/>
                <w:sz w:val="24"/>
                <w:szCs w:val="24"/>
                <w:highlight w:val="none"/>
              </w:rPr>
              <w:t xml:space="preserve">12</w:t>
            </w:r>
            <w:r>
              <w:rPr>
                <w:rFonts w:hint="eastAsia" w:ascii="宋体" w:hAnsi="宋体" w:cs="宋体"/>
                <w:b/>
                <w:bCs/>
                <w:color w:val="000000"/>
                <w:sz w:val="24"/>
                <w:szCs w:val="24"/>
                <w:highlight w:val="none"/>
              </w:rPr>
              <w:t xml:space="preserve">配电房/开闭所专项运行维护方案（3分）</w:t>
            </w:r>
            <w:r>
              <w:rPr>
                <w:highlight w:val="none"/>
              </w:rPr>
            </w:r>
            <w:r/>
          </w:p>
          <w:p>
            <w:pPr>
              <w:pStyle w:val="958"/>
              <w:jc w:val="left"/>
              <w:spacing w:line="3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w:t>
            </w:r>
            <w:r>
              <w:rPr>
                <w:rFonts w:hint="eastAsia" w:ascii="宋体" w:hAnsi="宋体" w:cs="宋体"/>
                <w:color w:val="000000"/>
                <w:sz w:val="24"/>
                <w:szCs w:val="24"/>
                <w:highlight w:val="none"/>
              </w:rPr>
              <w:t xml:space="preserve">配电房/开闭所专项运行维护方案。</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t xml:space="preserve">应急处理预案（3分）。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投标人根据本项目特点，制定应急处理预案。上述</w:t>
            </w:r>
            <w:r>
              <w:rPr>
                <w:rFonts w:hint="eastAsia" w:ascii="宋体" w:hAnsi="宋体" w:cs="宋体"/>
                <w:color w:val="000000"/>
                <w:sz w:val="24"/>
                <w:szCs w:val="24"/>
                <w:highlight w:val="none"/>
              </w:rPr>
              <w:t xml:space="preserve">预案</w:t>
            </w:r>
            <w:r>
              <w:rPr>
                <w:rFonts w:ascii="宋体" w:hAnsi="宋体" w:cs="宋体"/>
                <w:color w:val="000000"/>
                <w:sz w:val="24"/>
                <w:szCs w:val="24"/>
                <w:highlight w:val="none"/>
              </w:rPr>
              <w:t xml:space="preserve">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378"/>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4</w:t>
            </w:r>
            <w:r>
              <w:rPr>
                <w:rFonts w:hint="eastAsia" w:ascii="宋体" w:hAnsi="宋体" w:cs="宋体"/>
                <w:b/>
                <w:bCs/>
                <w:color w:val="000000"/>
                <w:sz w:val="24"/>
                <w:szCs w:val="24"/>
                <w:highlight w:val="none"/>
              </w:rPr>
              <w:t xml:space="preserve">进退场交接方案（3分）。</w:t>
            </w:r>
            <w:r>
              <w:rPr>
                <w:rFonts w:ascii="宋体" w:hAnsi="宋体" w:cs="宋体"/>
                <w:color w:val="000000"/>
                <w:sz w:val="24"/>
                <w:szCs w:val="24"/>
                <w:highlight w:val="none"/>
              </w:rPr>
              <w:t xml:space="preserve">投标人根据本项目特点，制定进退场交接方案。上述方案要求内容全面合理、可行性强、操作性强、贴合项目实际。评委根据方案质量客观评定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5</w:t>
            </w:r>
            <w:r>
              <w:rPr>
                <w:rFonts w:hint="eastAsia" w:ascii="宋体" w:hAnsi="宋体" w:cs="宋体"/>
                <w:b/>
                <w:bCs/>
                <w:color w:val="000000"/>
                <w:sz w:val="24"/>
                <w:szCs w:val="24"/>
                <w:highlight w:val="none"/>
              </w:rPr>
              <w:t xml:space="preserve">接收人员安置及人员稳定性方案（5分）。</w:t>
            </w:r>
            <w:r>
              <w:rPr>
                <w:rFonts w:ascii="宋体" w:hAnsi="宋体" w:cs="宋体"/>
                <w:color w:val="000000"/>
                <w:sz w:val="24"/>
                <w:szCs w:val="24"/>
                <w:highlight w:val="none"/>
              </w:rPr>
              <w:t xml:space="preserve">投标人根据本项目要求和特点，制定完善的接收人员安置及人员稳定性方案。</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方案须逐条叙述，要求内容全面合理、可行性强、操作性强、贴合项目实际。评委根据方案质量客观评定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分，未提供或不</w:t>
            </w:r>
            <w:r>
              <w:rPr>
                <w:rFonts w:hint="eastAsia" w:ascii="宋体" w:hAnsi="宋体" w:cs="宋体"/>
                <w:color w:val="000000"/>
                <w:sz w:val="24"/>
                <w:szCs w:val="24"/>
                <w:highlight w:val="none"/>
              </w:rPr>
              <w:t xml:space="preserve">符合招标文件</w:t>
            </w:r>
            <w:r>
              <w:rPr>
                <w:rFonts w:ascii="宋体" w:hAnsi="宋体" w:cs="宋体"/>
                <w:color w:val="000000"/>
                <w:sz w:val="24"/>
                <w:szCs w:val="24"/>
                <w:highlight w:val="none"/>
              </w:rPr>
              <w:t xml:space="preserve">要求的，本项不得分。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6</w:t>
            </w:r>
            <w:r>
              <w:rPr>
                <w:rFonts w:hint="eastAsia" w:ascii="宋体" w:hAnsi="宋体" w:cs="宋体"/>
                <w:b/>
                <w:bCs/>
                <w:color w:val="000000"/>
                <w:sz w:val="24"/>
                <w:szCs w:val="24"/>
                <w:highlight w:val="none"/>
              </w:rPr>
              <w:t xml:space="preserve">特色服务方案（5分）。</w:t>
            </w:r>
            <w:bookmarkStart w:id="202" w:name="OLE_LINK7"/>
            <w:r>
              <w:rPr>
                <w:highlight w:val="none"/>
              </w:rPr>
            </w:r>
            <w:bookmarkStart w:id="203" w:name="OLE_LINK8"/>
            <w:r>
              <w:rPr>
                <w:rFonts w:ascii="宋体" w:hAnsi="宋体" w:cs="宋体"/>
                <w:color w:val="000000"/>
                <w:sz w:val="24"/>
                <w:szCs w:val="24"/>
                <w:highlight w:val="none"/>
              </w:rPr>
              <w:t xml:space="preserve">投标人根据</w:t>
            </w:r>
            <w:r>
              <w:rPr>
                <w:rFonts w:hint="eastAsia" w:ascii="宋体" w:hAnsi="宋体" w:cs="宋体"/>
                <w:color w:val="000000"/>
                <w:sz w:val="24"/>
                <w:szCs w:val="24"/>
                <w:highlight w:val="none"/>
                <w:lang w:val="en-US" w:eastAsia="zh-CN"/>
              </w:rPr>
              <w:t xml:space="preserve">采购需求的要求和</w:t>
            </w:r>
            <w:r>
              <w:rPr>
                <w:rFonts w:ascii="宋体" w:hAnsi="宋体" w:cs="宋体"/>
                <w:color w:val="000000"/>
                <w:sz w:val="24"/>
                <w:szCs w:val="24"/>
                <w:highlight w:val="none"/>
              </w:rPr>
              <w:t xml:space="preserve">本项目特点，为采购人提供特色物业服务</w:t>
            </w:r>
            <w:r>
              <w:rPr>
                <w:rFonts w:hint="eastAsia" w:ascii="宋体" w:hAnsi="宋体" w:cs="宋体"/>
                <w:color w:val="000000"/>
                <w:sz w:val="24"/>
                <w:szCs w:val="24"/>
                <w:highlight w:val="none"/>
                <w:lang w:val="en-US" w:eastAsia="zh-CN"/>
              </w:rPr>
              <w:t xml:space="preserve">方案</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如提供校园后勤服务设施设备、校园增亮改造、校园美化提升、学生就业岗位推荐、校园文化建设支持等。</w:t>
            </w:r>
            <w:bookmarkEnd w:id="202"/>
            <w:r>
              <w:rPr>
                <w:highlight w:val="none"/>
              </w:rPr>
            </w:r>
            <w:bookmarkEnd w:id="203"/>
            <w:r>
              <w:rPr>
                <w:rFonts w:hint="eastAsia" w:ascii="宋体" w:hAnsi="宋体" w:cs="宋体"/>
                <w:color w:val="000000"/>
                <w:sz w:val="24"/>
                <w:szCs w:val="24"/>
                <w:highlight w:val="none"/>
              </w:rPr>
              <w:t xml:space="preserve">优于招标文件要求得5分，符合招标文件要求得3分，未提供或不符合招标文件要求的，本项不得分。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restart"/>
            <w:textDirection w:val="lrTb"/>
            <w:noWrap w:val="false"/>
          </w:tcPr>
          <w:p>
            <w:pPr>
              <w:pStyle w:val="958"/>
              <w:spacing w:line="360" w:lineRule="exact"/>
              <w:rPr>
                <w:color w:val="000000"/>
                <w:sz w:val="24"/>
                <w:szCs w:val="24"/>
                <w:highlight w:val="none"/>
              </w:rPr>
            </w:pPr>
            <w:r>
              <w:rPr>
                <w:rFonts w:hint="eastAsia" w:ascii="宋体" w:hAnsi="宋体" w:cs="宋体"/>
                <w:color w:val="000000"/>
                <w:sz w:val="24"/>
                <w:szCs w:val="24"/>
                <w:highlight w:val="none"/>
              </w:rPr>
              <w:t xml:space="preserve">项目实施团队</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eastAsia="宋体"/>
                <w:color w:val="000000"/>
                <w:sz w:val="24"/>
                <w:szCs w:val="24"/>
                <w:highlight w:val="none"/>
              </w:rPr>
            </w:pPr>
            <w:r>
              <w:rPr>
                <w:rFonts w:hint="eastAsia" w:ascii="宋体" w:hAnsi="宋体" w:cs="宋体"/>
                <w:color w:val="000000"/>
                <w:sz w:val="24"/>
                <w:szCs w:val="24"/>
                <w:highlight w:val="none"/>
                <w:lang w:val="en-US" w:eastAsia="zh-CN"/>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3.1项目经理（4分）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投标人拟投入本项目的项目经理具备以下条件的</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1.本科及以上学历</w:t>
            </w:r>
            <w:r>
              <w:rPr>
                <w:rFonts w:hint="eastAsia" w:ascii="宋体" w:hAnsi="宋体" w:cs="宋体"/>
                <w:color w:val="000000"/>
                <w:sz w:val="24"/>
                <w:szCs w:val="24"/>
                <w:highlight w:val="none"/>
              </w:rPr>
              <w:t xml:space="preserve">的，得1分，未提供或未按要求提供的不得分</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highlight w:val="none"/>
              </w:rPr>
            </w:pPr>
            <w:r>
              <w:rPr>
                <w:color w:val="000000"/>
                <w:highlight w:val="none"/>
              </w:rPr>
              <w:t xml:space="preserve">2.</w:t>
            </w:r>
            <w:r>
              <w:rPr>
                <w:rFonts w:hint="eastAsia" w:ascii="宋体" w:hAnsi="宋体" w:cs="宋体"/>
                <w:color w:val="000000"/>
                <w:sz w:val="24"/>
                <w:highlight w:val="none"/>
              </w:rPr>
              <w:t xml:space="preserve">具有</w:t>
            </w:r>
            <w:r>
              <w:rPr>
                <w:rFonts w:hint="eastAsia" w:ascii="宋体" w:hAnsi="宋体" w:cs="宋体"/>
                <w:color w:val="000000"/>
                <w:sz w:val="24"/>
                <w:szCs w:val="24"/>
                <w:highlight w:val="none"/>
              </w:rPr>
              <w:t xml:space="preserve">高级专业</w:t>
            </w:r>
            <w:r>
              <w:rPr>
                <w:rFonts w:ascii="宋体" w:hAnsi="宋体" w:cs="宋体"/>
                <w:color w:val="000000"/>
                <w:sz w:val="24"/>
                <w:szCs w:val="24"/>
                <w:highlight w:val="none"/>
              </w:rPr>
              <w:t xml:space="preserve">技术职称证书</w:t>
            </w:r>
            <w:r>
              <w:rPr>
                <w:rFonts w:hint="eastAsia" w:ascii="宋体" w:hAnsi="宋体" w:cs="宋体"/>
                <w:color w:val="000000"/>
                <w:sz w:val="24"/>
                <w:szCs w:val="24"/>
                <w:highlight w:val="none"/>
              </w:rPr>
              <w:t xml:space="preserve">的（工程</w:t>
            </w:r>
            <w:r>
              <w:rPr>
                <w:rFonts w:ascii="宋体" w:hAnsi="宋体" w:cs="宋体"/>
                <w:color w:val="000000"/>
                <w:sz w:val="24"/>
                <w:szCs w:val="24"/>
                <w:highlight w:val="none"/>
              </w:rPr>
              <w:t xml:space="preserve">系列</w:t>
            </w:r>
            <w:r>
              <w:rPr>
                <w:rFonts w:hint="eastAsia" w:ascii="宋体" w:hAnsi="宋体" w:cs="宋体"/>
                <w:color w:val="000000"/>
                <w:sz w:val="24"/>
                <w:szCs w:val="24"/>
                <w:highlight w:val="none"/>
              </w:rPr>
              <w:t xml:space="preserve">），得2分，未提供或未按要求提供的不得分</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3.具备</w:t>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年及以上</w:t>
            </w:r>
            <w:r>
              <w:rPr>
                <w:rFonts w:hint="eastAsia" w:ascii="宋体" w:hAnsi="宋体" w:cs="宋体"/>
                <w:color w:val="000000"/>
                <w:sz w:val="24"/>
                <w:szCs w:val="24"/>
                <w:highlight w:val="none"/>
              </w:rPr>
              <w:t xml:space="preserve">与本项目</w:t>
            </w:r>
            <w:r>
              <w:rPr>
                <w:rFonts w:ascii="宋体" w:hAnsi="宋体" w:cs="宋体"/>
                <w:color w:val="000000"/>
                <w:sz w:val="24"/>
                <w:szCs w:val="24"/>
                <w:highlight w:val="none"/>
              </w:rPr>
              <w:t xml:space="preserve">类似</w:t>
            </w:r>
            <w:r>
              <w:rPr>
                <w:rFonts w:hint="eastAsia" w:ascii="宋体" w:hAnsi="宋体" w:cs="宋体"/>
                <w:color w:val="000000"/>
                <w:sz w:val="24"/>
                <w:szCs w:val="24"/>
                <w:highlight w:val="none"/>
              </w:rPr>
              <w:t xml:space="preserve">的</w:t>
            </w:r>
            <w:r>
              <w:rPr>
                <w:rFonts w:ascii="宋体" w:hAnsi="宋体" w:cs="宋体"/>
                <w:color w:val="000000"/>
                <w:sz w:val="24"/>
                <w:szCs w:val="24"/>
                <w:highlight w:val="none"/>
              </w:rPr>
              <w:t xml:space="preserve">物业项目经理管理经验</w:t>
            </w:r>
            <w:r>
              <w:rPr>
                <w:rFonts w:hint="eastAsia" w:ascii="宋体" w:hAnsi="宋体" w:cs="宋体"/>
                <w:color w:val="000000"/>
                <w:sz w:val="24"/>
                <w:szCs w:val="24"/>
                <w:highlight w:val="none"/>
              </w:rPr>
              <w:t xml:space="preserve">的，得1分，未提供或未按要求提供的不得分；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注：项目经理若为投标人员工，需提供该人员</w:t>
            </w:r>
            <w:r>
              <w:rPr>
                <w:rFonts w:hint="eastAsia" w:ascii="宋体" w:hAnsi="宋体" w:cs="宋体"/>
                <w:color w:val="000000"/>
                <w:sz w:val="24"/>
                <w:szCs w:val="24"/>
                <w:highlight w:val="none"/>
                <w:lang w:val="en-US" w:eastAsia="zh-CN"/>
              </w:rPr>
              <w:t xml:space="preserve">近</w:t>
            </w:r>
            <w:r>
              <w:rPr>
                <w:rFonts w:ascii="宋体" w:hAnsi="宋体" w:cs="宋体"/>
                <w:color w:val="000000"/>
                <w:sz w:val="24"/>
                <w:szCs w:val="24"/>
                <w:highlight w:val="none"/>
              </w:rPr>
              <w:t xml:space="preserve">3个月</w:t>
            </w:r>
            <w:r>
              <w:rPr>
                <w:rFonts w:hint="eastAsia" w:ascii="宋体" w:hAnsi="宋体" w:cs="宋体"/>
                <w:color w:val="000000"/>
                <w:sz w:val="24"/>
                <w:szCs w:val="24"/>
                <w:highlight w:val="none"/>
                <w:lang w:val="en-US" w:eastAsia="zh-CN"/>
              </w:rPr>
              <w:t xml:space="preserve">内任意一个月</w:t>
            </w:r>
            <w:r>
              <w:rPr>
                <w:rFonts w:ascii="宋体" w:hAnsi="宋体" w:cs="宋体"/>
                <w:color w:val="000000"/>
                <w:sz w:val="24"/>
                <w:szCs w:val="24"/>
                <w:highlight w:val="none"/>
              </w:rPr>
              <w:t xml:space="preserve">的社保证明（不含投标当月）及相应证书扫描</w:t>
            </w:r>
            <w:r>
              <w:rPr>
                <w:rFonts w:hint="eastAsia" w:ascii="宋体" w:hAnsi="宋体" w:cs="宋体"/>
                <w:color w:val="000000"/>
                <w:sz w:val="24"/>
                <w:szCs w:val="24"/>
                <w:highlight w:val="none"/>
                <w:lang w:val="en-US" w:eastAsia="zh-CN"/>
              </w:rPr>
              <w:t xml:space="preserve">件</w:t>
            </w:r>
            <w:r>
              <w:rPr>
                <w:rFonts w:ascii="宋体" w:hAnsi="宋体" w:cs="宋体"/>
                <w:color w:val="000000"/>
                <w:sz w:val="24"/>
                <w:szCs w:val="24"/>
                <w:highlight w:val="none"/>
              </w:rPr>
              <w:t xml:space="preserve">；未按要求提供证明材料的，对应条件不得分。提供被服务单位管理部门盖章的担任项目经理的工作证明。</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3.2经理助理（3分）</w:t>
            </w:r>
            <w:r>
              <w:rPr>
                <w:highlight w:val="none"/>
              </w:rPr>
            </w:r>
            <w:r/>
          </w:p>
          <w:p>
            <w:pPr>
              <w:pStyle w:val="958"/>
              <w:jc w:val="left"/>
              <w:spacing w:line="3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投标人拟投入本项目的经理助理具备以下条件</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1.具有大专及以上学历；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2.具有</w:t>
            </w:r>
            <w:r>
              <w:rPr>
                <w:rFonts w:hint="eastAsia" w:ascii="宋体" w:hAnsi="宋体" w:cs="宋体"/>
                <w:color w:val="000000"/>
                <w:sz w:val="24"/>
                <w:szCs w:val="24"/>
                <w:highlight w:val="none"/>
              </w:rPr>
              <w:t xml:space="preserve">中级及以上国家职业技能等级证书（限消防、水电、楼宇管理类）</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3.具备3年以上</w:t>
            </w:r>
            <w:r>
              <w:rPr>
                <w:rFonts w:hint="eastAsia" w:ascii="宋体" w:hAnsi="宋体" w:cs="宋体"/>
                <w:color w:val="000000"/>
                <w:sz w:val="24"/>
                <w:szCs w:val="24"/>
                <w:highlight w:val="none"/>
              </w:rPr>
              <w:t xml:space="preserve">与本项目类似的（服务内容包括</w:t>
            </w:r>
            <w:r>
              <w:rPr>
                <w:rFonts w:ascii="宋体" w:hAnsi="宋体" w:cs="宋体"/>
                <w:color w:val="000000"/>
                <w:sz w:val="24"/>
                <w:szCs w:val="24"/>
                <w:highlight w:val="none"/>
              </w:rPr>
              <w:t xml:space="preserve">人事文员、行政内勤</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rPr>
              <w:t xml:space="preserve">）物业</w:t>
            </w:r>
            <w:r>
              <w:rPr>
                <w:rFonts w:ascii="宋体" w:hAnsi="宋体" w:cs="宋体"/>
                <w:color w:val="000000"/>
                <w:sz w:val="24"/>
                <w:szCs w:val="24"/>
                <w:highlight w:val="none"/>
              </w:rPr>
              <w:t xml:space="preserve">相关工作经验。</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rPr>
              <w:t xml:space="preserve">上述条件</w:t>
            </w:r>
            <w:r>
              <w:rPr>
                <w:rFonts w:ascii="宋体" w:hAnsi="宋体" w:cs="宋体"/>
                <w:color w:val="000000"/>
                <w:sz w:val="24"/>
                <w:szCs w:val="24"/>
                <w:highlight w:val="none"/>
              </w:rPr>
              <w:t xml:space="preserve">每满足一项得1分，最高得3分</w:t>
            </w:r>
            <w:r>
              <w:rPr>
                <w:rFonts w:hint="eastAsia" w:ascii="宋体" w:hAnsi="宋体" w:cs="宋体"/>
                <w:color w:val="000000"/>
                <w:sz w:val="24"/>
                <w:szCs w:val="24"/>
                <w:highlight w:val="none"/>
              </w:rPr>
              <w:t xml:space="preserve">，未提供或未按要求提供的不得分。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w:t>
            </w: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以上人员若为投标人员工，需提供该人员</w:t>
            </w:r>
            <w:r>
              <w:rPr>
                <w:rFonts w:hint="eastAsia" w:ascii="宋体" w:hAnsi="宋体" w:cs="宋体"/>
                <w:color w:val="000000"/>
                <w:sz w:val="24"/>
                <w:szCs w:val="24"/>
                <w:highlight w:val="none"/>
                <w:lang w:val="en-US" w:eastAsia="zh-CN"/>
              </w:rPr>
              <w:t xml:space="preserve">近</w:t>
            </w:r>
            <w:r>
              <w:rPr>
                <w:rFonts w:ascii="宋体" w:hAnsi="宋体" w:cs="宋体"/>
                <w:color w:val="000000"/>
                <w:sz w:val="24"/>
                <w:szCs w:val="24"/>
                <w:highlight w:val="none"/>
              </w:rPr>
              <w:t xml:space="preserve">3个月</w:t>
            </w:r>
            <w:r>
              <w:rPr>
                <w:rFonts w:hint="eastAsia" w:ascii="宋体" w:hAnsi="宋体" w:cs="宋体"/>
                <w:color w:val="000000"/>
                <w:sz w:val="24"/>
                <w:szCs w:val="24"/>
                <w:highlight w:val="none"/>
                <w:lang w:val="en-US" w:eastAsia="zh-CN"/>
              </w:rPr>
              <w:t xml:space="preserve">内任意一个月</w:t>
            </w:r>
            <w:r>
              <w:rPr>
                <w:rFonts w:ascii="宋体" w:hAnsi="宋体" w:cs="宋体"/>
                <w:color w:val="000000"/>
                <w:sz w:val="24"/>
                <w:szCs w:val="24"/>
                <w:highlight w:val="none"/>
              </w:rPr>
              <w:t xml:space="preserve">的社保证明（不含投标当月）及相应有效证书扫描件；未按要求提供证明材料的，对应条件不得分。</w:t>
            </w:r>
            <w:r>
              <w:rPr>
                <w:rFonts w:hint="eastAsia" w:ascii="宋体" w:hAnsi="宋体" w:cs="宋体"/>
                <w:color w:val="000000"/>
                <w:sz w:val="24"/>
                <w:szCs w:val="24"/>
                <w:highlight w:val="none"/>
              </w:rPr>
              <w:t xml:space="preserve">2、工作经验需由被服务单位部门盖章。</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3.3综合维修工（3分）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投标人拟投入本项目的综合维修工具备以下条件的</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具有</w:t>
            </w:r>
            <w:r>
              <w:rPr>
                <w:rFonts w:ascii="宋体" w:hAnsi="宋体" w:cs="宋体"/>
                <w:color w:val="000000"/>
                <w:sz w:val="24"/>
                <w:szCs w:val="24"/>
                <w:highlight w:val="none"/>
              </w:rPr>
              <w:t xml:space="preserve">高压电工证；</w:t>
            </w:r>
            <w:r>
              <w:rPr>
                <w:highlight w:val="none"/>
              </w:rPr>
            </w:r>
            <w:r/>
          </w:p>
          <w:p>
            <w:pPr>
              <w:pStyle w:val="958"/>
              <w:jc w:val="left"/>
              <w:spacing w:line="360" w:lineRule="exact"/>
              <w:rPr>
                <w:color w:val="000000"/>
                <w:sz w:val="24"/>
                <w:szCs w:val="24"/>
                <w:highlight w:val="none"/>
              </w:rPr>
            </w:pPr>
            <w:r>
              <w:rPr>
                <w:color w:val="000000"/>
                <w:sz w:val="24"/>
                <w:szCs w:val="24"/>
                <w:highlight w:val="none"/>
              </w:rPr>
              <w:t xml:space="preserve">2.</w:t>
            </w:r>
            <w:r>
              <w:rPr>
                <w:rFonts w:hint="eastAsia" w:ascii="宋体" w:hAnsi="宋体" w:cs="宋体"/>
                <w:color w:val="000000"/>
                <w:sz w:val="24"/>
                <w:szCs w:val="24"/>
                <w:highlight w:val="none"/>
              </w:rPr>
              <w:t xml:space="preserve">具有</w:t>
            </w:r>
            <w:r>
              <w:rPr>
                <w:rFonts w:ascii="宋体" w:hAnsi="宋体" w:cs="宋体"/>
                <w:color w:val="000000"/>
                <w:sz w:val="24"/>
                <w:szCs w:val="24"/>
                <w:highlight w:val="none"/>
              </w:rPr>
              <w:t xml:space="preserve">低压电工证</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olor w:val="000000"/>
                <w:sz w:val="24"/>
                <w:highlight w:val="none"/>
                <w:shd w:val="clear" w:color="auto" w:fill="ffffff"/>
              </w:rPr>
              <w:t xml:space="preserve">具有类似的综合维修服务经历且履职评价为优秀的(需附原服务单位</w:t>
            </w:r>
            <w:r>
              <w:rPr>
                <w:rFonts w:hint="eastAsia" w:ascii="宋体" w:hAnsi="宋体"/>
                <w:color w:val="000000"/>
                <w:sz w:val="24"/>
                <w:highlight w:val="none"/>
              </w:rPr>
              <w:t xml:space="preserve">盖</w:t>
            </w:r>
            <w:r>
              <w:rPr>
                <w:rFonts w:hint="eastAsia" w:ascii="宋体" w:hAnsi="宋体"/>
                <w:color w:val="000000"/>
                <w:sz w:val="24"/>
                <w:highlight w:val="none"/>
                <w:shd w:val="clear" w:color="auto" w:fill="ffffff"/>
              </w:rPr>
              <w:t xml:space="preserve">章证明)</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rPr>
              <w:t xml:space="preserve">上述条件</w:t>
            </w:r>
            <w:r>
              <w:rPr>
                <w:rFonts w:ascii="宋体" w:hAnsi="宋体" w:cs="宋体"/>
                <w:color w:val="000000"/>
                <w:sz w:val="24"/>
                <w:szCs w:val="24"/>
                <w:highlight w:val="none"/>
              </w:rPr>
              <w:t xml:space="preserve">每满足一项得1分，最高得3分</w:t>
            </w:r>
            <w:r>
              <w:rPr>
                <w:rFonts w:hint="eastAsia" w:ascii="宋体" w:hAnsi="宋体" w:cs="宋体"/>
                <w:color w:val="000000"/>
                <w:sz w:val="24"/>
                <w:szCs w:val="24"/>
                <w:highlight w:val="none"/>
              </w:rPr>
              <w:t xml:space="preserve">，未提供或未按要求提供的不得分</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注：以上人员若为投标人员工，需提供该人员</w:t>
            </w:r>
            <w:r>
              <w:rPr>
                <w:rFonts w:hint="eastAsia" w:ascii="宋体" w:hAnsi="宋体" w:cs="宋体"/>
                <w:color w:val="000000"/>
                <w:sz w:val="24"/>
                <w:szCs w:val="24"/>
                <w:highlight w:val="none"/>
                <w:lang w:val="en-US" w:eastAsia="zh-CN"/>
              </w:rPr>
              <w:t xml:space="preserve">近</w:t>
            </w:r>
            <w:r>
              <w:rPr>
                <w:rFonts w:ascii="宋体" w:hAnsi="宋体" w:cs="宋体"/>
                <w:color w:val="000000"/>
                <w:sz w:val="24"/>
                <w:szCs w:val="24"/>
                <w:highlight w:val="none"/>
              </w:rPr>
              <w:t xml:space="preserve">3个月</w:t>
            </w:r>
            <w:r>
              <w:rPr>
                <w:rFonts w:hint="eastAsia" w:ascii="宋体" w:hAnsi="宋体" w:cs="宋体"/>
                <w:color w:val="000000"/>
                <w:sz w:val="24"/>
                <w:szCs w:val="24"/>
                <w:highlight w:val="none"/>
                <w:lang w:val="en-US" w:eastAsia="zh-CN"/>
              </w:rPr>
              <w:t xml:space="preserve">内任意一个月的</w:t>
            </w:r>
            <w:r>
              <w:rPr>
                <w:rFonts w:ascii="宋体" w:hAnsi="宋体" w:cs="宋体"/>
                <w:color w:val="000000"/>
                <w:sz w:val="24"/>
                <w:szCs w:val="24"/>
                <w:highlight w:val="none"/>
              </w:rPr>
              <w:t xml:space="preserve">的社保证明(不含投标当月)及相应有效证书扫描件；未按要求提供证明材料的，对应内容不得分。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物业管理服务信息化评价</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hint="eastAsia"/>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4.1</w:t>
            </w:r>
            <w:r>
              <w:rPr>
                <w:rFonts w:hint="eastAsia" w:ascii="宋体" w:hAnsi="宋体" w:cs="宋体"/>
                <w:color w:val="000000"/>
                <w:sz w:val="24"/>
                <w:szCs w:val="24"/>
                <w:highlight w:val="none"/>
              </w:rPr>
              <w:t xml:space="preserve">投标人具有物业智能化管理平台或手机APP或微信小程序，具有类似维修保修管理、学生公寓管理、高校场馆管理</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核心功能，每具备1个功能得1分，本项最多得3分，未提供或未按要求提供的不得分。</w:t>
            </w:r>
            <w:r>
              <w:rPr>
                <w:highlight w:val="none"/>
              </w:rPr>
            </w:r>
            <w:r/>
          </w:p>
          <w:p>
            <w:pPr>
              <w:pStyle w:val="958"/>
              <w:jc w:val="left"/>
              <w:spacing w:line="3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注：</w:t>
            </w:r>
            <w:r>
              <w:rPr>
                <w:rFonts w:hint="eastAsia" w:ascii="宋体" w:hAnsi="宋体" w:cs="宋体"/>
                <w:color w:val="000000"/>
                <w:sz w:val="24"/>
                <w:szCs w:val="24"/>
                <w:highlight w:val="none"/>
              </w:rPr>
              <w:t xml:space="preserve">投标人自主研发的提供软件著作权证书，非自主研发的提供购买发票或购买合同或者第三方使用授权证明，并提供对应的软件著作权证书。</w:t>
            </w:r>
            <w:r>
              <w:rPr>
                <w:highlight w:val="none"/>
              </w:rPr>
            </w:r>
            <w:r/>
          </w:p>
          <w:p>
            <w:pPr>
              <w:pStyle w:val="958"/>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如投标文件中提供的著作权名称表述与招标文件描述的关键字样不一致，而该投标文件中能证明投标人拥有的著作权具有相同或相似功能和效果的，视同符合要求。</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体系认证</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5.1</w:t>
            </w:r>
            <w:r>
              <w:rPr>
                <w:rFonts w:ascii="宋体" w:hAnsi="宋体" w:cs="宋体"/>
                <w:color w:val="000000"/>
                <w:sz w:val="24"/>
                <w:szCs w:val="24"/>
                <w:highlight w:val="none"/>
              </w:rPr>
              <w:t xml:space="preserve">投标人具备以下有效体系认证证书的：</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1.ISO9001质量管理体系认证证书；</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2.ISO14001环境管理体系认证证书；</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3.ISO45001职业健康安全管理体系认证证书。</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证书</w:t>
            </w:r>
            <w:r>
              <w:rPr>
                <w:rFonts w:ascii="宋体" w:hAnsi="宋体" w:cs="宋体"/>
                <w:color w:val="000000"/>
                <w:sz w:val="24"/>
                <w:szCs w:val="24"/>
                <w:highlight w:val="none"/>
              </w:rPr>
              <w:t xml:space="preserve">每</w:t>
            </w:r>
            <w:r>
              <w:rPr>
                <w:rFonts w:hint="eastAsia" w:ascii="宋体" w:hAnsi="宋体" w:cs="宋体"/>
                <w:color w:val="000000"/>
                <w:sz w:val="24"/>
                <w:szCs w:val="24"/>
                <w:highlight w:val="none"/>
                <w:lang w:val="en-US" w:eastAsia="zh-CN"/>
              </w:rPr>
              <w:t xml:space="preserve">提供</w:t>
            </w:r>
            <w:r>
              <w:rPr>
                <w:rFonts w:ascii="宋体" w:hAnsi="宋体" w:cs="宋体"/>
                <w:color w:val="000000"/>
                <w:sz w:val="24"/>
                <w:szCs w:val="24"/>
                <w:highlight w:val="none"/>
              </w:rPr>
              <w:t xml:space="preserve">一项得1分，最高得</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注：投标文件内须提供有效证书扫描件</w:t>
            </w:r>
            <w:r>
              <w:rPr>
                <w:rFonts w:hint="eastAsia" w:ascii="宋体" w:hAnsi="宋体" w:cs="宋体"/>
                <w:color w:val="000000"/>
                <w:sz w:val="24"/>
                <w:szCs w:val="24"/>
                <w:highlight w:val="none"/>
                <w:lang w:val="en-US" w:eastAsia="zh-CN"/>
              </w:rPr>
              <w:t xml:space="preserve">或复印件</w:t>
            </w:r>
            <w:r>
              <w:rPr>
                <w:rFonts w:ascii="宋体" w:hAnsi="宋体" w:cs="宋体"/>
                <w:color w:val="000000"/>
                <w:sz w:val="24"/>
                <w:szCs w:val="24"/>
                <w:highlight w:val="none"/>
              </w:rPr>
              <w:t xml:space="preserve">并加盖投标人公章；未按要求提供的，对应证书不得分。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restart"/>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业绩</w:t>
            </w:r>
            <w:r>
              <w:rPr>
                <w:rFonts w:hint="eastAsia" w:ascii="宋体" w:hAnsi="宋体" w:cs="宋体"/>
                <w:color w:val="000000"/>
                <w:sz w:val="24"/>
                <w:szCs w:val="24"/>
                <w:highlight w:val="none"/>
              </w:rPr>
              <w:t xml:space="preserve">和评价</w:t>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6.1</w:t>
            </w:r>
            <w:r>
              <w:rPr>
                <w:rFonts w:ascii="宋体" w:hAnsi="宋体" w:cs="宋体"/>
                <w:color w:val="000000"/>
                <w:sz w:val="24"/>
                <w:szCs w:val="24"/>
                <w:highlight w:val="none"/>
              </w:rPr>
              <w:t xml:space="preserve">投标人提供2023年1月1日以来（以合同签订时间为准）承担过</w:t>
            </w:r>
            <w:r>
              <w:rPr>
                <w:rFonts w:hint="eastAsia" w:ascii="宋体" w:hAnsi="宋体" w:cs="宋体"/>
                <w:color w:val="000000"/>
                <w:sz w:val="24"/>
                <w:szCs w:val="24"/>
                <w:highlight w:val="none"/>
              </w:rPr>
              <w:t xml:space="preserve">与本项目</w:t>
            </w:r>
            <w:r>
              <w:rPr>
                <w:rFonts w:ascii="宋体" w:hAnsi="宋体" w:cs="宋体"/>
                <w:color w:val="000000"/>
                <w:sz w:val="24"/>
                <w:szCs w:val="24"/>
                <w:highlight w:val="none"/>
              </w:rPr>
              <w:t xml:space="preserve">类似</w:t>
            </w:r>
            <w:r>
              <w:rPr>
                <w:rFonts w:hint="eastAsia" w:ascii="宋体" w:hAnsi="宋体" w:cs="宋体"/>
                <w:color w:val="000000"/>
                <w:sz w:val="24"/>
                <w:szCs w:val="24"/>
                <w:highlight w:val="none"/>
              </w:rPr>
              <w:t xml:space="preserve">的</w:t>
            </w:r>
            <w:r>
              <w:rPr>
                <w:rFonts w:ascii="宋体" w:hAnsi="宋体" w:cs="宋体"/>
                <w:color w:val="000000"/>
                <w:sz w:val="24"/>
                <w:szCs w:val="24"/>
                <w:highlight w:val="none"/>
              </w:rPr>
              <w:t xml:space="preserve">物业管理服务成功案例，</w:t>
            </w:r>
            <w:r>
              <w:rPr>
                <w:rFonts w:hint="eastAsia" w:ascii="宋体" w:hAnsi="宋体" w:cs="宋体"/>
                <w:color w:val="000000"/>
                <w:sz w:val="24"/>
                <w:szCs w:val="24"/>
                <w:highlight w:val="none"/>
              </w:rPr>
              <w:t xml:space="preserve">案例内容须</w:t>
            </w:r>
            <w:r>
              <w:rPr>
                <w:rFonts w:ascii="宋体" w:hAnsi="宋体" w:cs="宋体"/>
                <w:color w:val="000000"/>
                <w:sz w:val="24"/>
                <w:szCs w:val="24"/>
                <w:highlight w:val="none"/>
              </w:rPr>
              <w:t xml:space="preserve">包含宿舍（公寓）管理、楼宇管理、绿化、保洁、水电维修</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（1）每提供一个包含</w:t>
            </w:r>
            <w:r>
              <w:rPr>
                <w:rFonts w:ascii="宋体" w:hAnsi="宋体" w:cs="宋体"/>
                <w:color w:val="000000"/>
                <w:sz w:val="24"/>
                <w:szCs w:val="24"/>
                <w:highlight w:val="none"/>
              </w:rPr>
              <w:t xml:space="preserve">上述</w:t>
            </w: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t xml:space="preserve">项</w:t>
            </w:r>
            <w:r>
              <w:rPr>
                <w:rFonts w:hint="eastAsia" w:ascii="宋体" w:hAnsi="宋体" w:cs="宋体"/>
                <w:color w:val="000000"/>
                <w:sz w:val="24"/>
                <w:szCs w:val="24"/>
                <w:highlight w:val="none"/>
              </w:rPr>
              <w:t xml:space="preserve">服务内容的案例，</w:t>
            </w:r>
            <w:r>
              <w:rPr>
                <w:rFonts w:ascii="宋体" w:hAnsi="宋体" w:cs="宋体"/>
                <w:color w:val="000000"/>
                <w:sz w:val="24"/>
                <w:szCs w:val="24"/>
                <w:highlight w:val="none"/>
              </w:rPr>
              <w:t xml:space="preserve">得1分，最高得4分</w:t>
            </w:r>
            <w:r>
              <w:rPr>
                <w:rFonts w:hint="eastAsia" w:ascii="宋体" w:hAnsi="宋体" w:cs="宋体"/>
                <w:color w:val="000000"/>
                <w:sz w:val="24"/>
                <w:szCs w:val="24"/>
                <w:highlight w:val="none"/>
              </w:rPr>
              <w:t xml:space="preserve">，未提供或未按要求提供的不得分。</w:t>
            </w:r>
            <w:r>
              <w:rPr>
                <w:highlight w:val="none"/>
              </w:rPr>
            </w:r>
            <w:r/>
          </w:p>
          <w:p>
            <w:pPr>
              <w:pStyle w:val="958"/>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（2）每提供1个包含上述</w:t>
            </w:r>
            <w:r>
              <w:rPr>
                <w:rFonts w:ascii="宋体" w:hAnsi="宋体" w:cs="宋体"/>
                <w:color w:val="000000"/>
                <w:sz w:val="24"/>
                <w:szCs w:val="24"/>
                <w:highlight w:val="none"/>
              </w:rPr>
              <w:t xml:space="preserve">4项及以上服务内容的</w:t>
            </w:r>
            <w:r>
              <w:rPr>
                <w:rFonts w:hint="eastAsia" w:ascii="宋体" w:hAnsi="宋体" w:cs="宋体"/>
                <w:color w:val="000000"/>
                <w:sz w:val="24"/>
                <w:szCs w:val="24"/>
                <w:highlight w:val="none"/>
              </w:rPr>
              <w:t xml:space="preserve">案例</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得2分，最高得4分，未提供或未按要求提供的不得分。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投标人须为每个案例提供中标（成交）通知书复印件、合同复印件，二者缺一不可；若合同中未体现上述4项服务内容，需补充提供甲方或其职能部门盖章的证明材料复印件，未按要求提供的，对应案例不得分；同一甲方的业绩不重复计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6.2</w:t>
            </w:r>
            <w:r>
              <w:rPr>
                <w:rFonts w:hint="eastAsia" w:ascii="宋体" w:hAnsi="宋体" w:cs="宋体"/>
                <w:color w:val="000000"/>
                <w:sz w:val="24"/>
                <w:szCs w:val="24"/>
                <w:highlight w:val="none"/>
              </w:rPr>
              <w:t xml:space="preserve">满足</w:t>
            </w:r>
            <w:r>
              <w:rPr>
                <w:rFonts w:hint="eastAsia" w:ascii="宋体" w:hAnsi="宋体" w:cs="宋体"/>
                <w:color w:val="000000"/>
                <w:sz w:val="24"/>
                <w:szCs w:val="24"/>
                <w:highlight w:val="none"/>
                <w:lang w:val="en-US" w:eastAsia="zh-CN"/>
              </w:rPr>
              <w:t xml:space="preserve">6.1</w:t>
            </w:r>
            <w:r>
              <w:rPr>
                <w:rFonts w:hint="eastAsia" w:ascii="宋体" w:hAnsi="宋体" w:cs="宋体"/>
                <w:color w:val="000000"/>
                <w:sz w:val="24"/>
                <w:szCs w:val="24"/>
                <w:highlight w:val="none"/>
              </w:rPr>
              <w:t xml:space="preserve">要求的案例业绩中，业主单位评价为优秀或满意的，每有一个得</w:t>
            </w:r>
            <w:r>
              <w:rPr>
                <w:rFonts w:ascii="宋体" w:hAnsi="宋体" w:cs="宋体"/>
                <w:color w:val="000000"/>
                <w:sz w:val="24"/>
                <w:szCs w:val="24"/>
                <w:highlight w:val="none"/>
              </w:rPr>
              <w:t xml:space="preserve">0.5</w:t>
            </w:r>
            <w:r>
              <w:rPr>
                <w:rFonts w:hint="eastAsia" w:ascii="宋体" w:hAnsi="宋体" w:cs="宋体"/>
                <w:color w:val="000000"/>
                <w:sz w:val="24"/>
                <w:szCs w:val="24"/>
                <w:highlight w:val="none"/>
              </w:rPr>
              <w:t xml:space="preserve">分，最高得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分，未提供或未按要求提供的不得分。</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rPr>
              <w:t xml:space="preserve">提供业主</w:t>
            </w:r>
            <w:r>
              <w:rPr>
                <w:rFonts w:ascii="宋体" w:hAnsi="宋体" w:cs="宋体"/>
                <w:color w:val="000000"/>
                <w:sz w:val="24"/>
                <w:szCs w:val="24"/>
                <w:highlight w:val="none"/>
              </w:rPr>
              <w:t xml:space="preserve">单位盖章的物业服务优秀或满意评价</w:t>
            </w:r>
            <w:r>
              <w:rPr>
                <w:rFonts w:hint="eastAsia" w:ascii="宋体" w:hAnsi="宋体" w:cs="宋体"/>
                <w:color w:val="000000"/>
                <w:sz w:val="24"/>
                <w:szCs w:val="24"/>
                <w:highlight w:val="none"/>
              </w:rPr>
              <w:t xml:space="preserve">的</w:t>
            </w:r>
            <w:r>
              <w:rPr>
                <w:rFonts w:ascii="宋体" w:hAnsi="宋体" w:cs="宋体"/>
                <w:color w:val="000000"/>
                <w:sz w:val="24"/>
                <w:szCs w:val="24"/>
                <w:highlight w:val="none"/>
              </w:rPr>
              <w:t xml:space="preserve">证明材料</w:t>
            </w:r>
            <w:r>
              <w:rPr>
                <w:rFonts w:hint="eastAsia" w:ascii="宋体" w:hAnsi="宋体" w:cs="宋体"/>
                <w:color w:val="000000"/>
                <w:sz w:val="24"/>
                <w:szCs w:val="24"/>
                <w:highlight w:val="none"/>
              </w:rPr>
              <w:t xml:space="preserve">，同一服务单位的业绩不重复计分。</w:t>
            </w:r>
            <w:r>
              <w:rPr>
                <w:highlight w:val="none"/>
              </w:rPr>
            </w:r>
            <w:r/>
          </w:p>
        </w:tc>
      </w:tr>
    </w:tbl>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br w:type="page" w:clear="all"/>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t xml:space="preserve">第六章  投标</w:t>
      </w:r>
      <w:bookmarkEnd w:id="189"/>
      <w:r>
        <w:rPr>
          <w:highlight w:val="none"/>
        </w:rPr>
      </w:r>
      <w:bookmarkEnd w:id="190"/>
      <w:r>
        <w:rPr>
          <w:highlight w:val="none"/>
        </w:rPr>
      </w:r>
      <w:bookmarkEnd w:id="198"/>
      <w:r>
        <w:rPr>
          <w:rFonts w:hint="eastAsia" w:ascii="黑体" w:eastAsia="黑体"/>
          <w:bCs/>
          <w:color w:val="000000"/>
          <w:sz w:val="44"/>
          <w:highlight w:val="none"/>
        </w:rPr>
        <w:t xml:space="preserve">文件格式 </w:t>
      </w:r>
      <w:r>
        <w:rPr>
          <w:highlight w:val="none"/>
        </w:rPr>
      </w:r>
      <w:r/>
    </w:p>
    <w:p>
      <w:pPr>
        <w:pStyle w:val="958"/>
        <w:jc w:val="center"/>
        <w:rPr>
          <w:rFonts w:hint="eastAsia" w:ascii="宋体" w:hAnsi="宋体"/>
          <w:b/>
          <w:color w:val="000000"/>
          <w:sz w:val="72"/>
          <w:highlight w:val="none"/>
        </w:rPr>
      </w:pPr>
      <w:r>
        <w:rPr>
          <w:highlight w:val="none"/>
        </w:rPr>
      </w:r>
      <w:bookmarkStart w:id="204" w:name="_Hlt26671244"/>
      <w:r>
        <w:rPr>
          <w:highlight w:val="none"/>
        </w:rPr>
      </w:r>
      <w:bookmarkEnd w:id="204"/>
      <w:r>
        <w:rPr>
          <w:highlight w:val="none"/>
        </w:rPr>
      </w:r>
      <w:bookmarkStart w:id="205" w:name="_Hlt26955039"/>
      <w:r>
        <w:rPr>
          <w:highlight w:val="none"/>
        </w:rPr>
      </w:r>
      <w:bookmarkEnd w:id="205"/>
      <w:r>
        <w:rPr>
          <w:highlight w:val="none"/>
        </w:rPr>
      </w:r>
      <w:bookmarkStart w:id="206" w:name="_Toc26554094"/>
      <w:r>
        <w:rPr>
          <w:highlight w:val="none"/>
        </w:rPr>
      </w:r>
      <w:bookmarkStart w:id="207" w:name="_Toc49090576"/>
      <w:r>
        <w:rPr>
          <w:highlight w:val="none"/>
        </w:rPr>
      </w:r>
      <w:bookmarkStart w:id="208" w:name="_Toc120614282"/>
      <w:r>
        <w:rPr>
          <w:highlight w:val="none"/>
        </w:rPr>
      </w:r>
      <w:r/>
    </w:p>
    <w:p>
      <w:pPr>
        <w:pStyle w:val="958"/>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highlight w:val="none"/>
        </w:rPr>
      </w:r>
      <w:r/>
    </w:p>
    <w:p>
      <w:pPr>
        <w:pStyle w:val="958"/>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58"/>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58"/>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58"/>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58"/>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58"/>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highlight w:val="none"/>
        </w:rPr>
      </w:r>
      <w:r/>
    </w:p>
    <w:p>
      <w:pPr>
        <w:pStyle w:val="95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highlight w:val="none"/>
        </w:rPr>
      </w:r>
      <w:r/>
    </w:p>
    <w:p>
      <w:pPr>
        <w:pStyle w:val="958"/>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highlight w:val="none"/>
        </w:rPr>
      </w:r>
      <w:r/>
    </w:p>
    <w:p>
      <w:pPr>
        <w:pStyle w:val="958"/>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highlight w:val="none"/>
        </w:rPr>
      </w:r>
      <w:r/>
    </w:p>
    <w:p>
      <w:pPr>
        <w:pStyle w:val="9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58"/>
        <w:spacing w:line="440" w:lineRule="exact"/>
        <w:rPr>
          <w:rFonts w:ascii="宋体" w:hAnsi="宋体"/>
          <w:color w:val="000000"/>
          <w:highlight w:val="none"/>
        </w:rPr>
      </w:pPr>
      <w:r>
        <w:rPr>
          <w:rFonts w:ascii="宋体" w:hAnsi="宋体"/>
          <w:color w:val="000000"/>
          <w:highlight w:val="none"/>
        </w:rPr>
      </w:r>
      <w:r>
        <w:rPr>
          <w:highlight w:val="none"/>
        </w:rPr>
      </w:r>
      <w:r/>
    </w:p>
    <w:p>
      <w:pPr>
        <w:pStyle w:val="958"/>
        <w:ind w:firstLine="1084"/>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highlight w:val="none"/>
        </w:rPr>
      </w:r>
      <w:r/>
    </w:p>
    <w:p>
      <w:pPr>
        <w:pStyle w:val="9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58"/>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一、基本目录</w:t>
      </w:r>
      <w:r>
        <w:rPr>
          <w:highlight w:val="none"/>
        </w:rPr>
      </w:r>
      <w:r/>
    </w:p>
    <w:p>
      <w:pPr>
        <w:pStyle w:val="958"/>
        <w:ind w:left="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开标一览表（格式见附件</w:t>
      </w:r>
      <w:r>
        <w:rPr>
          <w:rFonts w:ascii="宋体" w:hAnsi="宋体"/>
          <w:color w:val="000000"/>
          <w:sz w:val="24"/>
          <w:highlight w:val="none"/>
        </w:rPr>
        <w:t xml:space="preserve">1</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投标分项报价表（格式见</w:t>
      </w:r>
      <w:r>
        <w:rPr>
          <w:rFonts w:ascii="宋体" w:hAnsi="宋体"/>
          <w:color w:val="000000"/>
          <w:sz w:val="24"/>
          <w:highlight w:val="none"/>
        </w:rPr>
        <w:t xml:space="preserve">附件2</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技术要求响应及偏离表（格式见</w:t>
      </w:r>
      <w:r>
        <w:rPr>
          <w:rFonts w:ascii="宋体" w:hAnsi="宋体"/>
          <w:color w:val="000000"/>
          <w:sz w:val="24"/>
          <w:highlight w:val="none"/>
        </w:rPr>
        <w:t xml:space="preserve">附件3</w:t>
      </w:r>
      <w:r>
        <w:rPr>
          <w:rFonts w:hint="eastAsia" w:ascii="宋体" w:hAnsi="宋体"/>
          <w:color w:val="000000"/>
          <w:sz w:val="24"/>
          <w:highlight w:val="none"/>
        </w:rPr>
        <w:t xml:space="preserve">）</w:t>
      </w:r>
      <w:r>
        <w:rPr>
          <w:highlight w:val="none"/>
        </w:rPr>
      </w:r>
      <w:r/>
    </w:p>
    <w:p>
      <w:pPr>
        <w:pStyle w:val="958"/>
        <w:ind w:firstLine="480"/>
        <w:spacing w:line="40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商务要求响应及偏离表（格式见</w:t>
      </w:r>
      <w:r>
        <w:rPr>
          <w:rFonts w:ascii="宋体" w:hAnsi="宋体"/>
          <w:color w:val="000000"/>
          <w:sz w:val="24"/>
          <w:highlight w:val="none"/>
        </w:rPr>
        <w:t xml:space="preserve">附件4</w:t>
      </w:r>
      <w:r>
        <w:rPr>
          <w:rFonts w:hint="eastAsia" w:ascii="宋体" w:hAnsi="宋体"/>
          <w:color w:val="000000"/>
          <w:sz w:val="24"/>
          <w:highlight w:val="none"/>
        </w:rPr>
        <w:t xml:space="preserve">）</w:t>
      </w:r>
      <w:r>
        <w:rPr>
          <w:highlight w:val="none"/>
        </w:rPr>
      </w:r>
      <w:r/>
    </w:p>
    <w:p>
      <w:pPr>
        <w:pStyle w:val="95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5.****（格式</w:t>
      </w:r>
      <w:r>
        <w:rPr>
          <w:rFonts w:ascii="宋体" w:hAnsi="宋体"/>
          <w:color w:val="000000"/>
          <w:sz w:val="24"/>
          <w:highlight w:val="none"/>
        </w:rPr>
        <w:t xml:space="preserve">见附件</w:t>
      </w:r>
      <w:r>
        <w:rPr>
          <w:rFonts w:hint="eastAsia" w:ascii="宋体" w:hAnsi="宋体"/>
          <w:color w:val="000000"/>
          <w:sz w:val="24"/>
          <w:highlight w:val="none"/>
        </w:rPr>
        <w:t xml:space="preserve">**）</w:t>
      </w:r>
      <w:r>
        <w:rPr>
          <w:highlight w:val="none"/>
        </w:rPr>
      </w:r>
      <w:r/>
    </w:p>
    <w:p>
      <w:pPr>
        <w:pStyle w:val="958"/>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、资格审查内容</w:t>
      </w:r>
      <w:r>
        <w:rPr>
          <w:highlight w:val="none"/>
        </w:rPr>
      </w:r>
      <w:r/>
    </w:p>
    <w:p>
      <w:pPr>
        <w:pStyle w:val="958"/>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法人或者其他组织的营业执照等证明文件，自然人的身份证明</w:t>
      </w:r>
      <w:r>
        <w:rPr>
          <w:highlight w:val="none"/>
        </w:rPr>
      </w:r>
      <w:r/>
    </w:p>
    <w:p>
      <w:pPr>
        <w:pStyle w:val="958"/>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2024或2025年度的财务状况报告（投标人成立不满一年无需提供）</w:t>
      </w:r>
      <w:r>
        <w:rPr>
          <w:highlight w:val="none"/>
        </w:rPr>
      </w:r>
      <w:r/>
    </w:p>
    <w:p>
      <w:pPr>
        <w:pStyle w:val="958"/>
        <w:ind w:left="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依法缴纳税收和社会保障资金的相关材料（提供提交投标文件截止时间前一年</w:t>
      </w:r>
      <w:r>
        <w:rPr>
          <w:highlight w:val="none"/>
        </w:rPr>
      </w:r>
      <w:r/>
    </w:p>
    <w:p>
      <w:pPr>
        <w:pStyle w:val="958"/>
        <w:spacing w:line="400" w:lineRule="exact"/>
        <w:rPr>
          <w:rFonts w:hint="eastAsia" w:ascii="宋体" w:hAnsi="宋体"/>
          <w:color w:val="000000"/>
          <w:sz w:val="24"/>
          <w:highlight w:val="none"/>
        </w:rPr>
      </w:pPr>
      <w:r>
        <w:rPr>
          <w:rFonts w:hint="eastAsia" w:ascii="宋体" w:hAnsi="宋体"/>
          <w:color w:val="000000"/>
          <w:sz w:val="24"/>
          <w:highlight w:val="none"/>
        </w:rPr>
        <w:t xml:space="preserve">内至少一个月依法缴纳税收及缴纳社会保障资金的证明材料。投标人依法享受缓缴、免缴税收、社会保障资金的提供证明材料。）</w:t>
      </w:r>
      <w:r>
        <w:rPr>
          <w:highlight w:val="none"/>
        </w:rPr>
      </w:r>
      <w:r/>
    </w:p>
    <w:p>
      <w:pPr>
        <w:pStyle w:val="958"/>
        <w:ind w:left="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具备履行合同所必需的设备和专业技术能力的书面声明（格式见</w:t>
      </w:r>
      <w:r>
        <w:rPr>
          <w:rFonts w:ascii="宋体" w:hAnsi="宋体"/>
          <w:color w:val="000000"/>
          <w:sz w:val="24"/>
          <w:highlight w:val="none"/>
        </w:rPr>
        <w:t xml:space="preserve">附件5</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highlight w:val="none"/>
        </w:rPr>
      </w:pPr>
      <w:r>
        <w:rPr>
          <w:rFonts w:hint="eastAsia" w:ascii="宋体" w:hAnsi="宋体"/>
          <w:color w:val="000000"/>
          <w:sz w:val="24"/>
          <w:highlight w:val="none"/>
        </w:rPr>
        <w:t xml:space="preserve">5.参加政府采购活动前 3 年内在经营活动中没有重大违法记录的书面声明（格式</w:t>
      </w:r>
      <w:r>
        <w:rPr>
          <w:highlight w:val="none"/>
        </w:rPr>
      </w:r>
      <w:r/>
    </w:p>
    <w:p>
      <w:pPr>
        <w:pStyle w:val="958"/>
        <w:spacing w:line="400" w:lineRule="exact"/>
        <w:rPr>
          <w:rFonts w:hint="eastAsia" w:ascii="宋体" w:hAnsi="宋体"/>
          <w:color w:val="000000"/>
          <w:sz w:val="24"/>
          <w:highlight w:val="none"/>
        </w:rPr>
      </w:pPr>
      <w:r>
        <w:rPr>
          <w:rFonts w:hint="eastAsia" w:ascii="宋体" w:hAnsi="宋体"/>
          <w:color w:val="000000"/>
          <w:sz w:val="24"/>
          <w:highlight w:val="none"/>
        </w:rPr>
        <w:t xml:space="preserve">见</w:t>
      </w:r>
      <w:r>
        <w:rPr>
          <w:rFonts w:ascii="宋体" w:hAnsi="宋体"/>
          <w:color w:val="000000"/>
          <w:sz w:val="24"/>
          <w:highlight w:val="none"/>
        </w:rPr>
        <w:t xml:space="preserve">附件6</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特定资格要求的证明文件（如果本项目对投标人</w:t>
      </w:r>
      <w:r>
        <w:rPr>
          <w:rFonts w:ascii="宋体" w:hAnsi="宋体"/>
          <w:color w:val="000000"/>
          <w:sz w:val="24"/>
          <w:highlight w:val="none"/>
        </w:rPr>
        <w:t xml:space="preserve">做出特定资格要求的</w:t>
      </w:r>
      <w:r>
        <w:rPr>
          <w:rFonts w:hint="eastAsia" w:ascii="宋体" w:hAnsi="宋体"/>
          <w:color w:val="000000"/>
          <w:sz w:val="24"/>
          <w:highlight w:val="none"/>
        </w:rPr>
        <w:t xml:space="preserve">，必须提供）</w:t>
      </w:r>
      <w:r>
        <w:rPr>
          <w:highlight w:val="none"/>
        </w:rPr>
      </w:r>
      <w:r/>
    </w:p>
    <w:p>
      <w:pPr>
        <w:pStyle w:val="95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法人授权书（格式见附件</w:t>
      </w:r>
      <w:r>
        <w:rPr>
          <w:rFonts w:ascii="宋体" w:hAnsi="宋体"/>
          <w:color w:val="000000"/>
          <w:sz w:val="24"/>
          <w:highlight w:val="none"/>
        </w:rPr>
        <w:t xml:space="preserve">7</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投标函（格式见附件</w:t>
      </w:r>
      <w:r>
        <w:rPr>
          <w:rFonts w:ascii="宋体" w:hAnsi="宋体"/>
          <w:color w:val="000000"/>
          <w:sz w:val="24"/>
          <w:highlight w:val="none"/>
        </w:rPr>
        <w:t xml:space="preserve">8</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总备注：上述“资格审查内容”中1-6条、8、9条投标人必须在投标文件中提</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供相关材料，否则作无效投标处理。</w:t>
      </w:r>
      <w:r>
        <w:rPr>
          <w:highlight w:val="none"/>
        </w:rPr>
      </w:r>
      <w:r/>
    </w:p>
    <w:p>
      <w:pPr>
        <w:pStyle w:val="958"/>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符合性</w:t>
      </w:r>
      <w:r>
        <w:rPr>
          <w:rFonts w:ascii="宋体" w:hAnsi="宋体"/>
          <w:b/>
          <w:color w:val="000000"/>
          <w:sz w:val="24"/>
          <w:highlight w:val="none"/>
        </w:rPr>
        <w:t xml:space="preserve">审查内容</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投标人必须</w:t>
      </w:r>
      <w:r>
        <w:rPr>
          <w:rFonts w:ascii="宋体" w:hAnsi="宋体"/>
          <w:color w:val="000000"/>
          <w:sz w:val="24"/>
          <w:highlight w:val="none"/>
        </w:rPr>
        <w:t xml:space="preserve">对</w:t>
      </w:r>
      <w:r>
        <w:rPr>
          <w:rFonts w:hint="eastAsia" w:ascii="宋体" w:hAnsi="宋体"/>
          <w:color w:val="000000"/>
          <w:sz w:val="24"/>
          <w:highlight w:val="none"/>
        </w:rPr>
        <w:t xml:space="preserve">招标文件（含技术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rFonts w:ascii="宋体" w:hAnsi="宋体"/>
          <w:color w:val="000000"/>
          <w:sz w:val="24"/>
          <w:highlight w:val="none"/>
        </w:rPr>
        <w:t xml:space="preserve">的实质性要求</w:t>
      </w:r>
      <w:r>
        <w:rPr>
          <w:rFonts w:hint="eastAsia" w:ascii="宋体" w:hAnsi="宋体"/>
          <w:color w:val="000000"/>
          <w:sz w:val="24"/>
          <w:highlight w:val="none"/>
        </w:rPr>
        <w:t xml:space="preserve">逐条</w:t>
      </w:r>
      <w:r>
        <w:rPr>
          <w:rFonts w:ascii="宋体" w:hAnsi="宋体"/>
          <w:color w:val="000000"/>
          <w:sz w:val="24"/>
          <w:highlight w:val="none"/>
        </w:rPr>
        <w:t xml:space="preserve">做出响应，并按照招标</w:t>
      </w:r>
      <w:r>
        <w:rPr>
          <w:rFonts w:hint="eastAsia" w:ascii="宋体" w:hAnsi="宋体"/>
          <w:color w:val="000000"/>
          <w:sz w:val="24"/>
          <w:highlight w:val="none"/>
        </w:rPr>
        <w:t xml:space="preserve">文件</w:t>
      </w:r>
      <w:r>
        <w:rPr>
          <w:rFonts w:ascii="宋体" w:hAnsi="宋体"/>
          <w:color w:val="000000"/>
          <w:sz w:val="24"/>
          <w:highlight w:val="none"/>
        </w:rPr>
        <w:t xml:space="preserve">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hint="eastAsia" w:ascii="宋体" w:hAnsi="宋体"/>
          <w:color w:val="000000"/>
          <w:sz w:val="24"/>
          <w:highlight w:val="none"/>
        </w:rPr>
        <w:t xml:space="preserve">（格式见</w:t>
      </w:r>
      <w:r>
        <w:rPr>
          <w:rFonts w:ascii="宋体" w:hAnsi="宋体"/>
          <w:color w:val="000000"/>
          <w:sz w:val="24"/>
          <w:highlight w:val="none"/>
        </w:rPr>
        <w:t xml:space="preserve">附件1</w:t>
      </w:r>
      <w:r>
        <w:rPr>
          <w:rFonts w:hint="eastAsia" w:ascii="宋体" w:hAnsi="宋体"/>
          <w:color w:val="000000"/>
          <w:sz w:val="24"/>
          <w:highlight w:val="none"/>
        </w:rPr>
        <w:t xml:space="preserve">1）</w:t>
      </w:r>
      <w:r>
        <w:rPr>
          <w:highlight w:val="none"/>
        </w:rPr>
      </w:r>
      <w:r/>
    </w:p>
    <w:p>
      <w:pPr>
        <w:pStyle w:val="958"/>
        <w:ind w:firstLine="480"/>
        <w:rPr>
          <w:rFonts w:ascii="宋体" w:hAnsi="宋体"/>
          <w:b/>
          <w:color w:val="000000"/>
          <w:sz w:val="24"/>
          <w:highlight w:val="none"/>
        </w:rPr>
      </w:pPr>
      <w:r>
        <w:rPr>
          <w:rFonts w:hint="eastAsia" w:ascii="宋体" w:hAnsi="宋体"/>
          <w:b/>
          <w:color w:val="000000"/>
          <w:sz w:val="24"/>
          <w:highlight w:val="none"/>
        </w:rPr>
        <w:t xml:space="preserve">四、价格</w:t>
      </w:r>
      <w:r>
        <w:rPr>
          <w:rFonts w:ascii="宋体" w:hAnsi="宋体"/>
          <w:b/>
          <w:color w:val="000000"/>
          <w:sz w:val="24"/>
          <w:highlight w:val="none"/>
        </w:rPr>
        <w:t xml:space="preserve">扣除证明文件</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中小微企业声明函（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附件9</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残疾人福利性单位声明函（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附件10</w:t>
      </w:r>
      <w:r>
        <w:rPr>
          <w:rFonts w:hint="eastAsia" w:ascii="宋体" w:hAnsi="宋体"/>
          <w:color w:val="000000"/>
          <w:sz w:val="24"/>
          <w:highlight w:val="none"/>
        </w:rPr>
        <w:t xml:space="preserve">）</w:t>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pStyle w:val="958"/>
        <w:rPr>
          <w:rFonts w:hint="eastAsia" w:eastAsia="仿宋_GB2312"/>
          <w:color w:val="000000"/>
          <w:sz w:val="24"/>
          <w:szCs w:val="20"/>
          <w:highlight w:val="none"/>
        </w:rPr>
      </w:pPr>
      <w:r>
        <w:rPr>
          <w:rFonts w:hint="eastAsia" w:ascii="宋体" w:hAnsi="宋体"/>
          <w:b/>
          <w:color w:val="000000"/>
          <w:sz w:val="24"/>
          <w:szCs w:val="24"/>
          <w:highlight w:val="none"/>
        </w:rPr>
        <w:t xml:space="preserve">附件1 开标一览表</w:t>
      </w:r>
      <w:r>
        <w:rPr>
          <w:highlight w:val="none"/>
        </w:rPr>
      </w:r>
      <w:r/>
    </w:p>
    <w:p>
      <w:pPr>
        <w:pStyle w:val="958"/>
        <w:ind w:firstLine="48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highlight w:val="none"/>
        </w:rPr>
      </w:r>
      <w:r/>
    </w:p>
    <w:p>
      <w:pPr>
        <w:pStyle w:val="958"/>
        <w:ind w:firstLine="482"/>
        <w:spacing w:line="0" w:lineRule="atLeast"/>
        <w:rPr>
          <w:color w:val="000000"/>
          <w:sz w:val="24"/>
          <w:szCs w:val="24"/>
          <w:highlight w:val="none"/>
        </w:rPr>
      </w:pPr>
      <w:r>
        <w:rPr>
          <w:rFonts w:hint="eastAsia" w:ascii="宋体" w:hAnsi="宋体"/>
          <w:color w:val="000000"/>
          <w:sz w:val="24"/>
          <w:szCs w:val="24"/>
          <w:highlight w:val="none"/>
        </w:rPr>
        <w:t xml:space="preserve">项目名称：</w:t>
      </w:r>
      <w:r>
        <w:rPr>
          <w:highlight w:val="none"/>
        </w:rPr>
      </w:r>
      <w:r/>
    </w:p>
    <w:p>
      <w:pPr>
        <w:pStyle w:val="958"/>
        <w:ind w:firstLine="48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highlight w:val="none"/>
        </w:rPr>
      </w:r>
      <w:r/>
    </w:p>
    <w:p>
      <w:pPr>
        <w:pStyle w:val="958"/>
        <w:ind w:firstLine="48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采购包号：</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8"/>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highlight w:val="none"/>
              </w:rPr>
            </w:r>
            <w:r/>
          </w:p>
        </w:tc>
      </w:tr>
      <w:tr>
        <w:trPr>
          <w:cantSplit/>
          <w:trHeight w:val="612"/>
        </w:trPr>
        <w:tc>
          <w:tcPr>
            <w:tcW w:w="8206" w:type="dxa"/>
            <w:vAlign w:val="center"/>
            <w:textDirection w:val="lrTb"/>
            <w:noWrap w:val="false"/>
          </w:tcPr>
          <w:p>
            <w:pPr>
              <w:pStyle w:val="1065"/>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highlight w:val="none"/>
              </w:rPr>
            </w:r>
            <w:r/>
          </w:p>
        </w:tc>
      </w:tr>
    </w:tbl>
    <w:p>
      <w:pPr>
        <w:pStyle w:val="958"/>
        <w:ind w:firstLine="48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100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r>
      <w:tr>
        <w:trPr>
          <w:cantSplit/>
          <w:trHeight w:val="294"/>
        </w:trPr>
        <w:tc>
          <w:tcPr>
            <w:tcW w:w="556" w:type="dxa"/>
            <w:vAlign w:val="center"/>
            <w:vMerge w:val="continue"/>
            <w:textDirection w:val="lrTb"/>
            <w:noWrap w:val="false"/>
          </w:tcPr>
          <w:p>
            <w:pPr>
              <w:pStyle w:val="95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交付期/服务期</w:t>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highlight w:val="none"/>
              </w:rPr>
            </w:r>
            <w:r/>
          </w:p>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highlight w:val="none"/>
              </w:rPr>
            </w:r>
            <w:r/>
          </w:p>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highlight w:val="none"/>
              </w:rPr>
            </w:r>
            <w:r/>
          </w:p>
        </w:tc>
      </w:tr>
      <w:tr>
        <w:trPr>
          <w:cantSplit/>
          <w:trHeight w:val="654"/>
        </w:trPr>
        <w:tc>
          <w:tcPr>
            <w:tcW w:w="55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100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54"/>
        </w:trPr>
        <w:tc>
          <w:tcPr>
            <w:tcW w:w="55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1008"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487"/>
        </w:trPr>
        <w:tc>
          <w:tcPr>
            <w:gridSpan w:val="7"/>
            <w:tcW w:w="8339" w:type="dxa"/>
            <w:vAlign w:val="center"/>
            <w:textDirection w:val="lrTb"/>
            <w:noWrap w:val="false"/>
          </w:tcPr>
          <w:p>
            <w:pPr>
              <w:pStyle w:val="958"/>
              <w:spacing w:line="0" w:lineRule="atLeast"/>
              <w:rPr>
                <w:rFonts w:ascii="宋体" w:hAnsi="宋体"/>
                <w:color w:val="000000"/>
                <w:sz w:val="24"/>
                <w:szCs w:val="24"/>
                <w:highlight w:val="none"/>
                <w:u w:val="singl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u w:val="single"/>
              </w:rPr>
              <w:t xml:space="preserve">                          </w:t>
            </w:r>
            <w:r>
              <w:rPr>
                <w:highlight w:val="none"/>
              </w:rPr>
            </w:r>
            <w:r/>
          </w:p>
        </w:tc>
      </w:tr>
    </w:tbl>
    <w:p>
      <w:pPr>
        <w:pStyle w:val="95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w:t>
      </w:r>
      <w:r>
        <w:rPr>
          <w:highlight w:val="none"/>
        </w:rPr>
      </w:r>
      <w:r/>
    </w:p>
    <w:p>
      <w:pPr>
        <w:pStyle w:val="95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highlight w:val="none"/>
        </w:rPr>
      </w:r>
      <w:r/>
    </w:p>
    <w:p>
      <w:pPr>
        <w:pStyle w:val="95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2.“投标分项报价表”中“投标总报价”数额应当与“开标一览表”中“投标总报价”数额一致。</w:t>
      </w:r>
      <w:r>
        <w:rPr>
          <w:highlight w:val="none"/>
        </w:rPr>
      </w:r>
      <w:r/>
    </w:p>
    <w:p>
      <w:pPr>
        <w:pStyle w:val="95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highlight w:val="none"/>
        </w:rPr>
        <w:t xml:space="preserve"> 项目</w:t>
      </w:r>
      <w:r>
        <w:rPr>
          <w:rFonts w:ascii="宋体" w:hAnsi="宋体"/>
          <w:color w:val="000000"/>
          <w:sz w:val="24"/>
          <w:highlight w:val="none"/>
        </w:rPr>
        <w:t xml:space="preserve">经办人可以根据</w:t>
      </w:r>
      <w:r>
        <w:rPr>
          <w:rFonts w:hint="eastAsia" w:ascii="宋体" w:hAnsi="宋体"/>
          <w:color w:val="000000"/>
          <w:sz w:val="24"/>
          <w:highlight w:val="none"/>
        </w:rPr>
        <w:t xml:space="preserve">项目</w:t>
      </w:r>
      <w:r>
        <w:rPr>
          <w:rFonts w:ascii="宋体" w:hAnsi="宋体"/>
          <w:color w:val="000000"/>
          <w:sz w:val="24"/>
          <w:highlight w:val="none"/>
        </w:rPr>
        <w:t xml:space="preserve">实际需要</w:t>
      </w:r>
      <w:r>
        <w:rPr>
          <w:rFonts w:hint="eastAsia" w:ascii="宋体" w:hAnsi="宋体"/>
          <w:color w:val="000000"/>
          <w:sz w:val="24"/>
          <w:highlight w:val="none"/>
        </w:rPr>
        <w:t xml:space="preserve">对</w:t>
      </w:r>
      <w:r>
        <w:rPr>
          <w:rFonts w:ascii="宋体" w:hAnsi="宋体"/>
          <w:color w:val="000000"/>
          <w:sz w:val="24"/>
          <w:highlight w:val="none"/>
        </w:rPr>
        <w:t xml:space="preserve">表格结构进行</w:t>
      </w:r>
      <w:r>
        <w:rPr>
          <w:rFonts w:hint="eastAsia" w:ascii="宋体" w:hAnsi="宋体"/>
          <w:color w:val="000000"/>
          <w:sz w:val="24"/>
          <w:highlight w:val="none"/>
        </w:rPr>
        <w:t xml:space="preserve">调整</w:t>
      </w:r>
      <w:r>
        <w:rPr>
          <w:rFonts w:ascii="宋体" w:hAnsi="宋体"/>
          <w:color w:val="000000"/>
          <w:sz w:val="24"/>
          <w:highlight w:val="none"/>
        </w:rPr>
        <w:t xml:space="preserve">。</w:t>
      </w:r>
      <w:r>
        <w:rPr>
          <w:highlight w:val="none"/>
        </w:rPr>
      </w:r>
      <w:r/>
    </w:p>
    <w:p>
      <w:pPr>
        <w:pStyle w:val="958"/>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jc w:val="center"/>
        <w:spacing w:line="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人员工资、社会保险和公积金三项费用报价表（采购包号：**）</w:t>
      </w:r>
      <w:r>
        <w:rPr>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分项名称</w:t>
            </w:r>
            <w:r>
              <w:rPr>
                <w:highlight w:val="none"/>
              </w:rPr>
            </w:r>
            <w:r/>
          </w:p>
        </w:tc>
        <w:tc>
          <w:tcPr>
            <w:tcW w:w="7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rPr>
                <w:highlight w:val="none"/>
              </w:rPr>
            </w:r>
            <w:r/>
          </w:p>
        </w:tc>
        <w:tc>
          <w:tcPr>
            <w:tcW w:w="96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w:t>
            </w:r>
            <w:r>
              <w:rPr>
                <w:highlight w:val="none"/>
              </w:rPr>
            </w:r>
            <w:r/>
          </w:p>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单价</w:t>
            </w:r>
            <w:r>
              <w:rPr>
                <w:highlight w:val="none"/>
              </w:rPr>
            </w:r>
            <w:r/>
          </w:p>
        </w:tc>
        <w:tc>
          <w:tcPr>
            <w:tcW w:w="11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期 限</w:t>
            </w:r>
            <w:r>
              <w:rPr>
                <w:highlight w:val="none"/>
              </w:rPr>
            </w:r>
            <w:r/>
          </w:p>
        </w:tc>
        <w:tc>
          <w:tcPr>
            <w:tcW w:w="113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w:t>
            </w:r>
            <w:r>
              <w:rPr>
                <w:highlight w:val="none"/>
              </w:rPr>
            </w:r>
            <w:r/>
          </w:p>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总价1</w:t>
            </w:r>
            <w:r>
              <w:rPr>
                <w:highlight w:val="none"/>
              </w:rPr>
            </w:r>
            <w:r/>
          </w:p>
        </w:tc>
        <w:tc>
          <w:tcPr>
            <w:tcW w:w="2879" w:type="dxa"/>
            <w:vAlign w:val="center"/>
            <w:vMerge w:val="restart"/>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要求说明</w:t>
            </w:r>
            <w:r>
              <w:rPr>
                <w:highlight w:val="none"/>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人员工资</w:t>
            </w:r>
            <w:r>
              <w:rPr>
                <w:highlight w:val="none"/>
              </w:rPr>
            </w:r>
            <w:r/>
          </w:p>
        </w:tc>
        <w:tc>
          <w:tcPr>
            <w:tcW w:w="7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人数</w:t>
            </w:r>
            <w:r>
              <w:rPr>
                <w:highlight w:val="none"/>
              </w:rPr>
            </w:r>
            <w:r/>
          </w:p>
        </w:tc>
        <w:tc>
          <w:tcPr>
            <w:tcW w:w="96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元/月·人</w:t>
            </w:r>
            <w:r>
              <w:rPr>
                <w:highlight w:val="none"/>
              </w:rPr>
            </w:r>
            <w:r/>
          </w:p>
        </w:tc>
        <w:tc>
          <w:tcPr>
            <w:tcW w:w="11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月</w:t>
            </w:r>
            <w:r>
              <w:rPr>
                <w:highlight w:val="none"/>
              </w:rPr>
            </w:r>
            <w:r/>
          </w:p>
        </w:tc>
        <w:tc>
          <w:tcPr>
            <w:tcW w:w="113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元</w:t>
            </w:r>
            <w:r>
              <w:rPr>
                <w:highlight w:val="none"/>
              </w:rPr>
            </w:r>
            <w:r/>
          </w:p>
        </w:tc>
        <w:tc>
          <w:tcPr>
            <w:tcW w:w="2879" w:type="dxa"/>
            <w:vAlign w:val="center"/>
            <w:vMerge w:val="continue"/>
            <w:textDirection w:val="lrTb"/>
            <w:noWrap w:val="false"/>
          </w:tcPr>
          <w:p>
            <w:pPr>
              <w:pStyle w:val="958"/>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岗位1（如：保洁员1）</w:t>
            </w:r>
            <w:r>
              <w:rPr>
                <w:highlight w:val="none"/>
              </w:rPr>
            </w:r>
            <w:r/>
          </w:p>
        </w:tc>
        <w:tc>
          <w:tcPr>
            <w:tcW w:w="723" w:type="dxa"/>
            <w:vAlign w:val="center"/>
            <w:textDirection w:val="lrTb"/>
            <w:noWrap w:val="false"/>
          </w:tcPr>
          <w:p>
            <w:pPr>
              <w:pStyle w:val="958"/>
              <w:jc w:val="center"/>
              <w:spacing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96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23" w:type="dxa"/>
            <w:vAlign w:val="top"/>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3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2879" w:type="dxa"/>
            <w:vAlign w:val="center"/>
            <w:textDirection w:val="lrTb"/>
            <w:noWrap w:val="false"/>
          </w:tcPr>
          <w:p>
            <w:pPr>
              <w:pStyle w:val="958"/>
              <w:jc w:val="left"/>
              <w:spacing w:line="0" w:lineRule="atLeast"/>
              <w:rPr>
                <w:rFonts w:ascii="宋体" w:hAnsi="宋体" w:cs="等线"/>
                <w:color w:val="000000"/>
                <w:sz w:val="24"/>
                <w:highlight w:val="none"/>
              </w:rPr>
            </w:pPr>
            <w:r>
              <w:rPr>
                <w:rFonts w:hint="eastAsia" w:ascii="宋体" w:hAnsi="宋体" w:cs="等线"/>
                <w:color w:val="000000"/>
                <w:sz w:val="24"/>
                <w:highlight w:val="none"/>
              </w:rPr>
              <w:t xml:space="preserve">投标人为投入本项目的服务人员缴纳社保和公积金的人数不得低于</w:t>
            </w:r>
            <w:r>
              <w:rPr>
                <w:rFonts w:ascii="宋体" w:hAnsi="宋体" w:cs="等线"/>
                <w:color w:val="000000"/>
                <w:sz w:val="24"/>
                <w:highlight w:val="none"/>
              </w:rPr>
              <w:t xml:space="preserve">28</w:t>
            </w:r>
            <w:r>
              <w:rPr>
                <w:rFonts w:hint="eastAsia" w:ascii="宋体" w:hAnsi="宋体" w:cs="等线"/>
                <w:color w:val="000000"/>
                <w:sz w:val="24"/>
                <w:highlight w:val="none"/>
              </w:rPr>
              <w:t xml:space="preserve">人。因项目特殊性，（本项目不接受享受社保公积金减免政策人员、退休返聘人员等）</w:t>
            </w:r>
            <w:r>
              <w:rPr>
                <w:highlight w:val="none"/>
              </w:rPr>
            </w:r>
            <w:r/>
          </w:p>
          <w:p>
            <w:pPr>
              <w:pStyle w:val="958"/>
              <w:jc w:val="left"/>
              <w:spacing w:line="0" w:lineRule="atLeast"/>
              <w:rPr>
                <w:bCs/>
                <w:color w:val="000000"/>
                <w:sz w:val="24"/>
                <w:highlight w:val="none"/>
              </w:rPr>
            </w:pPr>
            <w:r>
              <w:rPr>
                <w:rFonts w:hint="eastAsia" w:ascii="宋体" w:hAnsi="宋体" w:cs="等线"/>
                <w:color w:val="000000"/>
                <w:sz w:val="24"/>
                <w:highlight w:val="none"/>
              </w:rPr>
              <w:t xml:space="preserve">社保费用不得低于镇江市最低标准，</w:t>
            </w:r>
            <w:r>
              <w:rPr>
                <w:rFonts w:hint="eastAsia"/>
                <w:bCs/>
                <w:color w:val="000000"/>
                <w:sz w:val="24"/>
                <w:highlight w:val="none"/>
              </w:rPr>
              <w:t xml:space="preserve">否则做无效投标处理。</w:t>
            </w:r>
            <w:r>
              <w:rPr>
                <w:highlight w:val="none"/>
              </w:rPr>
            </w:r>
            <w:r/>
          </w:p>
          <w:p>
            <w:pPr>
              <w:pStyle w:val="958"/>
              <w:jc w:val="left"/>
              <w:spacing w:line="0" w:lineRule="atLeast"/>
              <w:rPr>
                <w:rFonts w:hint="eastAsia" w:ascii="宋体" w:hAnsi="宋体" w:cs="宋体"/>
                <w:color w:val="000000"/>
                <w:sz w:val="24"/>
                <w:szCs w:val="24"/>
                <w:highlight w:val="none"/>
              </w:rPr>
            </w:pPr>
            <w:r>
              <w:rPr>
                <w:rFonts w:hint="eastAsia" w:ascii="宋体" w:hAnsi="宋体" w:cs="等线"/>
                <w:color w:val="000000"/>
                <w:sz w:val="24"/>
                <w:highlight w:val="none"/>
              </w:rPr>
              <w:t xml:space="preserve">公积金不得低于镇江市最低标准，</w:t>
            </w:r>
            <w:r>
              <w:rPr>
                <w:rFonts w:hint="eastAsia" w:ascii="宋体" w:hAnsi="宋体" w:cs="等线"/>
                <w:color w:val="000000"/>
                <w:sz w:val="24"/>
                <w:highlight w:val="none"/>
                <w:lang w:bidi="en-US"/>
              </w:rPr>
              <w:t xml:space="preserve">且最低工资不包含劳动者按下限缴存的住房公积金，由用人单位按规定另行支付，须测算在公积金报价中，含在投标报价中，否则做无效投标处理。</w:t>
            </w:r>
            <w:r>
              <w:rPr>
                <w:highlight w:val="none"/>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岗位2（如：保洁员2）</w:t>
            </w:r>
            <w:r>
              <w:rPr>
                <w:highlight w:val="none"/>
              </w:rPr>
            </w:r>
            <w:r/>
          </w:p>
        </w:tc>
        <w:tc>
          <w:tcPr>
            <w:tcW w:w="723" w:type="dxa"/>
            <w:vAlign w:val="center"/>
            <w:textDirection w:val="lrTb"/>
            <w:noWrap w:val="false"/>
          </w:tcPr>
          <w:p>
            <w:pPr>
              <w:pStyle w:val="958"/>
              <w:jc w:val="center"/>
              <w:spacing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96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23" w:type="dxa"/>
            <w:vAlign w:val="top"/>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3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2879" w:type="dxa"/>
            <w:vAlign w:val="center"/>
            <w:textDirection w:val="lrTb"/>
            <w:noWrap w:val="false"/>
          </w:tcPr>
          <w:p>
            <w:pPr>
              <w:pStyle w:val="958"/>
              <w:jc w:val="left"/>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723" w:type="dxa"/>
            <w:vAlign w:val="center"/>
            <w:textDirection w:val="lrTb"/>
            <w:noWrap w:val="false"/>
          </w:tcPr>
          <w:p>
            <w:pPr>
              <w:pStyle w:val="958"/>
              <w:jc w:val="center"/>
              <w:spacing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96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23" w:type="dxa"/>
            <w:vAlign w:val="top"/>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3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2879" w:type="dxa"/>
            <w:vAlign w:val="center"/>
            <w:textDirection w:val="lrTb"/>
            <w:noWrap w:val="false"/>
          </w:tcPr>
          <w:p>
            <w:pPr>
              <w:pStyle w:val="958"/>
              <w:jc w:val="left"/>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bl>
    <w:p>
      <w:pPr>
        <w:pStyle w:val="958"/>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highlight w:val="none"/>
        </w:rPr>
      </w:r>
      <w:r/>
    </w:p>
    <w:p>
      <w:pPr>
        <w:pStyle w:val="958"/>
        <w:spacing w:line="0" w:lineRule="atLeas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1.本表仅适用物业管理服务品目政府采购项目，供应商需在投标（响应）文件中填报此表。</w:t>
      </w:r>
      <w:r>
        <w:rPr>
          <w:highlight w:val="none"/>
        </w:rPr>
      </w:r>
      <w:r/>
    </w:p>
    <w:p>
      <w:pPr>
        <w:pStyle w:val="958"/>
        <w:spacing w:line="0" w:lineRule="atLeast"/>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2.供应商在投标（响应）文件中响应的拟投入本项目的服务人员不得是全日制在校学生。</w:t>
      </w:r>
      <w:r>
        <w:rPr>
          <w:highlight w:val="none"/>
        </w:rPr>
      </w:r>
      <w:r/>
    </w:p>
    <w:p>
      <w:pPr>
        <w:pStyle w:val="958"/>
        <w:spacing w:line="400" w:lineRule="exact"/>
        <w:rPr>
          <w:rFonts w:hint="eastAsia" w:ascii="方正魏碑_GBK" w:hAnsi="方正魏碑_GBK" w:eastAsia="方正魏碑_GBK" w:cs="方正魏碑_GBK"/>
          <w:b/>
          <w:bCs/>
          <w:color w:val="000000"/>
          <w:sz w:val="28"/>
          <w:szCs w:val="28"/>
          <w:highlight w:val="none"/>
        </w:rPr>
      </w:pPr>
      <w:r>
        <w:rPr>
          <w:rFonts w:hint="eastAsia" w:ascii="方正魏碑_GBK" w:hAnsi="方正魏碑_GBK" w:eastAsia="方正魏碑_GBK" w:cs="方正魏碑_GBK"/>
          <w:b/>
          <w:bCs/>
          <w:color w:val="000000"/>
          <w:sz w:val="28"/>
          <w:szCs w:val="28"/>
          <w:highlight w:val="none"/>
        </w:rPr>
      </w:r>
      <w:r>
        <w:rPr>
          <w:highlight w:val="none"/>
        </w:rPr>
      </w:r>
      <w:r/>
    </w:p>
    <w:p>
      <w:pPr>
        <w:pStyle w:val="958"/>
        <w:rPr>
          <w:color w:val="000000"/>
          <w:highlight w:val="none"/>
        </w:rPr>
      </w:pPr>
      <w:r>
        <w:rPr>
          <w:color w:val="000000"/>
          <w:highlight w:val="none"/>
        </w:rPr>
      </w:r>
      <w:r>
        <w:rPr>
          <w:highlight w:val="none"/>
        </w:rPr>
      </w:r>
      <w:r/>
    </w:p>
    <w:p>
      <w:pPr>
        <w:pStyle w:val="95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ind w:firstLine="480"/>
        <w:rPr>
          <w:rFonts w:ascii="宋体" w:hAnsi="宋体"/>
          <w:color w:val="000000"/>
          <w:sz w:val="24"/>
          <w:szCs w:val="24"/>
          <w:highlight w:val="none"/>
        </w:rPr>
      </w:pPr>
      <w:r>
        <w:rPr>
          <w:rFonts w:hint="eastAsia" w:ascii="宋体" w:hAnsi="宋体"/>
          <w:color w:val="000000"/>
          <w:sz w:val="24"/>
          <w:szCs w:val="24"/>
          <w:highlight w:val="none"/>
        </w:rPr>
        <w:t xml:space="preserve">                                           </w:t>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063"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highlight w:val="none"/>
              </w:rPr>
            </w:r>
            <w:r/>
          </w:p>
        </w:tc>
        <w:tc>
          <w:tcPr>
            <w:tcW w:w="3191"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2128"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1.投标人需对招标文件技术要求中非实质性要求（</w:t>
      </w:r>
      <w:r>
        <w:rPr>
          <w:rFonts w:hint="eastAsia" w:ascii="宋体" w:hAnsi="宋体" w:cs="宋体"/>
          <w:b/>
          <w:color w:val="000000"/>
          <w:sz w:val="24"/>
          <w:szCs w:val="24"/>
          <w:highlight w:val="none"/>
        </w:rPr>
        <w:t xml:space="preserve">未加</w:t>
      </w:r>
      <w:r>
        <w:rPr>
          <w:rFonts w:hint="eastAsia" w:ascii="宋体" w:hAnsi="宋体" w:cs="宋体"/>
          <w:b/>
          <w:i/>
          <w:color w:val="000000"/>
          <w:sz w:val="24"/>
          <w:szCs w:val="24"/>
          <w:highlight w:val="none"/>
          <w:u w:val="single"/>
        </w:rPr>
        <w:t xml:space="preserve">斜体下划线</w:t>
      </w:r>
      <w:r>
        <w:rPr>
          <w:rFonts w:hint="eastAsia" w:ascii="宋体" w:hAnsi="宋体" w:cs="宋体"/>
          <w:b/>
          <w:iCs/>
          <w:color w:val="000000"/>
          <w:sz w:val="24"/>
          <w:szCs w:val="24"/>
          <w:highlight w:val="none"/>
        </w:rPr>
        <w:t xml:space="preserve">部分</w:t>
      </w:r>
      <w:r>
        <w:rPr>
          <w:rFonts w:hint="eastAsia" w:ascii="宋体" w:hAnsi="宋体" w:cs="宋体"/>
          <w:b/>
          <w:color w:val="000000"/>
          <w:sz w:val="24"/>
          <w:szCs w:val="24"/>
          <w:highlight w:val="none"/>
        </w:rPr>
        <w:t xml:space="preserve">或未加*号条款</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063"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 </w:t>
            </w:r>
            <w:r>
              <w:rPr>
                <w:highlight w:val="none"/>
              </w:rPr>
            </w:r>
            <w:r/>
          </w:p>
        </w:tc>
        <w:tc>
          <w:tcPr>
            <w:tcW w:w="3191"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2128"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pStyle w:val="958"/>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1.投标人需对招标文件商务要求中非实质性要求（</w:t>
      </w:r>
      <w:r>
        <w:rPr>
          <w:rFonts w:hint="eastAsia" w:ascii="宋体" w:hAnsi="宋体" w:cs="宋体"/>
          <w:b/>
          <w:color w:val="000000"/>
          <w:sz w:val="24"/>
          <w:szCs w:val="24"/>
          <w:highlight w:val="none"/>
        </w:rPr>
        <w:t xml:space="preserve">未加</w:t>
      </w:r>
      <w:r>
        <w:rPr>
          <w:rFonts w:hint="eastAsia" w:ascii="宋体" w:hAnsi="宋体" w:cs="宋体"/>
          <w:b/>
          <w:i/>
          <w:color w:val="000000"/>
          <w:sz w:val="24"/>
          <w:szCs w:val="24"/>
          <w:highlight w:val="none"/>
          <w:u w:val="single"/>
        </w:rPr>
        <w:t xml:space="preserve">斜体下划线</w:t>
      </w:r>
      <w:r>
        <w:rPr>
          <w:rFonts w:hint="eastAsia" w:ascii="宋体" w:hAnsi="宋体" w:cs="宋体"/>
          <w:b/>
          <w:iCs/>
          <w:color w:val="000000"/>
          <w:sz w:val="24"/>
          <w:szCs w:val="24"/>
          <w:highlight w:val="none"/>
        </w:rPr>
        <w:t xml:space="preserve">部分</w:t>
      </w:r>
      <w:r>
        <w:rPr>
          <w:rFonts w:hint="eastAsia" w:ascii="宋体" w:hAnsi="宋体" w:cs="宋体"/>
          <w:b/>
          <w:color w:val="000000"/>
          <w:sz w:val="24"/>
          <w:szCs w:val="24"/>
          <w:highlight w:val="none"/>
        </w:rPr>
        <w:t xml:space="preserve">或未加*号条款</w:t>
      </w:r>
      <w:r>
        <w:rPr>
          <w:rFonts w:hint="eastAsia" w:ascii="宋体" w:hAnsi="宋体" w:cs="宋体"/>
          <w:color w:val="000000"/>
          <w:sz w:val="24"/>
          <w:szCs w:val="24"/>
          <w:highlight w:val="none"/>
        </w:rPr>
        <w:t xml:space="preserve">）逐条做出明确响应。</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pStyle w:val="958"/>
        <w:rPr>
          <w:rFonts w:hint="eastAsia" w:ascii="宋体" w:hAnsi="宋体"/>
          <w:b/>
          <w:color w:val="000000"/>
          <w:sz w:val="24"/>
          <w:highlight w:val="none"/>
        </w:rPr>
      </w:pPr>
      <w:r>
        <w:rPr>
          <w:rFonts w:hint="eastAsia" w:ascii="宋体" w:hAnsi="宋体"/>
          <w:b/>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rPr>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highlight w:val="none"/>
        </w:rPr>
      </w:r>
      <w:r/>
    </w:p>
    <w:p>
      <w:pPr>
        <w:pStyle w:val="958"/>
        <w:ind w:left="480"/>
        <w:rPr>
          <w:rFonts w:ascii="宋体" w:hAnsi="宋体"/>
          <w:b/>
          <w:color w:val="000000"/>
          <w:sz w:val="24"/>
          <w:highlight w:val="none"/>
        </w:rPr>
      </w:pPr>
      <w:r>
        <w:rPr>
          <w:rFonts w:ascii="宋体" w:hAnsi="宋体"/>
          <w:b/>
          <w:color w:val="000000"/>
          <w:sz w:val="24"/>
          <w:highlight w:val="none"/>
        </w:rPr>
      </w:r>
      <w:r>
        <w:rPr>
          <w:highlight w:val="none"/>
        </w:rPr>
      </w:r>
      <w:r/>
    </w:p>
    <w:p>
      <w:pPr>
        <w:pStyle w:val="958"/>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highlight w:val="none"/>
        </w:rPr>
      </w:r>
      <w:r/>
    </w:p>
    <w:p>
      <w:pPr>
        <w:pStyle w:val="958"/>
        <w:jc w:val="center"/>
        <w:spacing w:line="460" w:lineRule="exact"/>
        <w:rPr>
          <w:rFonts w:ascii="宋体" w:hAnsi="宋体"/>
          <w:b/>
          <w:bCs/>
          <w:color w:val="000000"/>
          <w:sz w:val="24"/>
          <w:highlight w:val="none"/>
        </w:rPr>
      </w:pPr>
      <w:r>
        <w:rPr>
          <w:rFonts w:ascii="宋体" w:hAnsi="宋体"/>
          <w:b/>
          <w:bCs/>
          <w:color w:val="000000"/>
          <w:sz w:val="24"/>
          <w:highlight w:val="none"/>
        </w:rPr>
      </w:r>
      <w:r>
        <w:rPr>
          <w:highlight w:val="none"/>
        </w:rPr>
      </w:r>
      <w:r/>
    </w:p>
    <w:p>
      <w:pPr>
        <w:pStyle w:val="958"/>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958"/>
        <w:ind w:left="480"/>
        <w:rPr>
          <w:rFonts w:ascii="宋体" w:hAnsi="宋体"/>
          <w:b/>
          <w:color w:val="000000"/>
          <w:sz w:val="24"/>
          <w:highlight w:val="none"/>
        </w:rPr>
      </w:pPr>
      <w:r>
        <w:rPr>
          <w:rFonts w:ascii="宋体" w:hAnsi="宋体"/>
          <w:b/>
          <w:color w:val="000000"/>
          <w:sz w:val="24"/>
          <w:highlight w:val="none"/>
        </w:rPr>
      </w:r>
      <w:r>
        <w:rPr>
          <w:highlight w:val="none"/>
        </w:rPr>
      </w:r>
      <w:r/>
    </w:p>
    <w:p>
      <w:pPr>
        <w:pStyle w:val="958"/>
        <w:ind w:firstLine="480"/>
        <w:spacing w:line="460" w:lineRule="exact"/>
        <w:rPr>
          <w:rFonts w:ascii="宋体" w:hAnsi="宋体"/>
          <w:b/>
          <w:color w:val="000000"/>
          <w:sz w:val="24"/>
          <w:highlight w:val="none"/>
        </w:rPr>
      </w:pPr>
      <w:r>
        <w:rPr>
          <w:rFonts w:ascii="宋体" w:hAnsi="宋体"/>
          <w:b/>
          <w:color w:val="000000"/>
          <w:sz w:val="24"/>
          <w:highlight w:val="none"/>
        </w:rPr>
      </w:r>
      <w:r>
        <w:rPr>
          <w:highlight w:val="none"/>
        </w:rPr>
      </w:r>
      <w:r/>
    </w:p>
    <w:p>
      <w:pPr>
        <w:pStyle w:val="958"/>
        <w:ind w:firstLine="480"/>
        <w:spacing w:line="460" w:lineRule="exact"/>
        <w:rPr>
          <w:rFonts w:ascii="宋体" w:hAnsi="宋体"/>
          <w:b/>
          <w:color w:val="000000"/>
          <w:sz w:val="24"/>
          <w:highlight w:val="none"/>
        </w:rPr>
      </w:pPr>
      <w:r>
        <w:rPr>
          <w:rFonts w:ascii="宋体" w:hAnsi="宋体"/>
          <w:b/>
          <w:color w:val="000000"/>
          <w:sz w:val="24"/>
          <w:highlight w:val="none"/>
        </w:rPr>
      </w:r>
      <w:r>
        <w:rPr>
          <w:highlight w:val="none"/>
        </w:rPr>
      </w:r>
      <w:r/>
    </w:p>
    <w:p>
      <w:pPr>
        <w:pStyle w:val="958"/>
        <w:ind w:firstLine="480"/>
        <w:spacing w:line="460" w:lineRule="exact"/>
        <w:rPr>
          <w:rFonts w:hint="eastAsia" w:ascii="宋体" w:hAnsi="宋体"/>
          <w:b/>
          <w:color w:val="000000"/>
          <w:sz w:val="24"/>
          <w:highlight w:val="none"/>
        </w:rPr>
      </w:pPr>
      <w:r>
        <w:rPr>
          <w:rFonts w:hint="eastAsia" w:ascii="宋体" w:hAnsi="宋体"/>
          <w:b/>
          <w:color w:val="000000"/>
          <w:sz w:val="24"/>
          <w:highlight w:val="none"/>
        </w:rPr>
      </w:r>
      <w:r>
        <w:rPr>
          <w:highlight w:val="none"/>
        </w:rPr>
      </w:r>
      <w:r/>
    </w:p>
    <w:p>
      <w:pPr>
        <w:pStyle w:val="958"/>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highlight w:val="none"/>
        </w:rPr>
      </w:r>
      <w:r/>
    </w:p>
    <w:p>
      <w:pPr>
        <w:pStyle w:val="958"/>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highlight w:val="none"/>
        </w:rPr>
      </w:r>
      <w:r/>
    </w:p>
    <w:p>
      <w:pPr>
        <w:pStyle w:val="958"/>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highlight w:val="none"/>
        </w:rPr>
      </w:r>
      <w:r/>
    </w:p>
    <w:p>
      <w:pPr>
        <w:pStyle w:val="958"/>
        <w:ind w:firstLine="120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highlight w:val="none"/>
        </w:rPr>
      </w:r>
      <w:r/>
    </w:p>
    <w:p>
      <w:pPr>
        <w:pStyle w:val="958"/>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highlight w:val="none"/>
        </w:rPr>
      </w:r>
      <w:r/>
    </w:p>
    <w:p>
      <w:pPr>
        <w:pStyle w:val="958"/>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highlight w:val="none"/>
        </w:rPr>
      </w:r>
      <w:r/>
    </w:p>
    <w:p>
      <w:pPr>
        <w:pStyle w:val="958"/>
        <w:ind w:firstLine="360"/>
        <w:spacing w:line="400" w:lineRule="exact"/>
        <w:rPr>
          <w:rFonts w:ascii="楷体" w:hAnsi="楷体" w:eastAsia="楷体"/>
          <w:color w:val="000000"/>
          <w:sz w:val="24"/>
          <w:szCs w:val="24"/>
          <w:highlight w:val="none"/>
        </w:rPr>
      </w:pPr>
      <w:r>
        <w:rPr>
          <w:rFonts w:ascii="楷体" w:hAnsi="楷体" w:eastAsia="楷体"/>
          <w:color w:val="000000"/>
          <w:sz w:val="24"/>
          <w:szCs w:val="24"/>
          <w:highlight w:val="none"/>
        </w:rPr>
      </w:r>
      <w:r>
        <w:rPr>
          <w:highlight w:val="none"/>
        </w:rPr>
      </w:r>
      <w:r/>
    </w:p>
    <w:p>
      <w:pPr>
        <w:pStyle w:val="958"/>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highlight w:val="none"/>
        </w:rPr>
      </w:r>
      <w:r/>
    </w:p>
    <w:p>
      <w:pPr>
        <w:pStyle w:val="958"/>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320000-***</w:t>
      </w:r>
      <w:r>
        <w:rPr>
          <w:rFonts w:hint="eastAsia" w:ascii="宋体" w:hAnsi="宋体"/>
          <w:color w:val="000000"/>
          <w:szCs w:val="21"/>
          <w:highlight w:val="none"/>
        </w:rPr>
        <w:t xml:space="preserve">号招标文件，正式授权下述签字人______(姓名)代表我方______________（投标人的名称），全权处理本次项目投标的有关事宜。</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highlight w:val="none"/>
        </w:rPr>
      </w:r>
      <w:r/>
    </w:p>
    <w:p>
      <w:pPr>
        <w:pStyle w:val="10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10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10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highlight w:val="none"/>
        </w:rPr>
      </w:r>
      <w:r/>
    </w:p>
    <w:p>
      <w:pPr>
        <w:pStyle w:val="95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spacing w:line="460" w:lineRule="exact"/>
        <w:rPr>
          <w:rFonts w:hint="eastAsia" w:ascii="黑体" w:hAnsi="黑体" w:eastAsia="黑体"/>
          <w:b/>
          <w:color w:val="000000"/>
          <w:sz w:val="32"/>
          <w:szCs w:val="32"/>
          <w:highlight w:val="none"/>
        </w:rPr>
      </w:pPr>
      <w:r>
        <w:rPr>
          <w:highlight w:val="none"/>
        </w:rPr>
      </w:r>
      <w:bookmarkEnd w:id="206"/>
      <w:r>
        <w:rPr>
          <w:highlight w:val="none"/>
        </w:rPr>
      </w:r>
      <w:bookmarkEnd w:id="207"/>
      <w:r>
        <w:rPr>
          <w:highlight w:val="none"/>
        </w:rPr>
      </w:r>
      <w:bookmarkEnd w:id="208"/>
      <w:r>
        <w:rPr>
          <w:highlight w:val="none"/>
        </w:rPr>
      </w:r>
      <w:bookmarkStart w:id="209" w:name="_Toc120614284"/>
      <w:r>
        <w:rPr>
          <w:highlight w:val="none"/>
        </w:rPr>
      </w:r>
      <w:r/>
    </w:p>
    <w:p>
      <w:pPr>
        <w:pStyle w:val="958"/>
        <w:jc w:val="center"/>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 中小微企业声明函（服务类项目）（采购包号：**）</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（项目名称）（采购包号：**）</w:t>
      </w:r>
      <w:r>
        <w:rPr>
          <w:rFonts w:hint="eastAsia" w:ascii="宋体" w:hAnsi="宋体"/>
          <w:color w:val="000000"/>
          <w:sz w:val="24"/>
          <w:szCs w:val="24"/>
          <w:highlight w:val="none"/>
        </w:rPr>
        <w:t xml:space="preserve">的采购活动，服务全部由符合政策的中小微企业承接。相关企业（含联合体中的中小微企业、签订采购包意向协议的中小微企业）的具体情况如下：</w:t>
      </w:r>
      <w:r>
        <w:rPr>
          <w:highlight w:val="none"/>
        </w:rPr>
      </w:r>
      <w:r/>
    </w:p>
    <w:p>
      <w:pPr>
        <w:pStyle w:val="95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highlight w:val="none"/>
        </w:rPr>
      </w:r>
      <w:r/>
    </w:p>
    <w:p>
      <w:pPr>
        <w:pStyle w:val="95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pStyle w:val="958"/>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highlight w:val="none"/>
        </w:rPr>
      </w:r>
      <w:r/>
    </w:p>
    <w:p>
      <w:pPr>
        <w:pStyle w:val="958"/>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highlight w:val="none"/>
        </w:rPr>
      </w:r>
      <w:r/>
    </w:p>
    <w:p>
      <w:pPr>
        <w:pStyle w:val="958"/>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highlight w:val="none"/>
        </w:rPr>
      </w:r>
      <w:r/>
    </w:p>
    <w:p>
      <w:pPr>
        <w:pStyle w:val="958"/>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3.供应商应对照《工业和信息化部、国家统计局、国家发展和改革委员会、财政部</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 残疾人福利性单位声明函（服务类项目）（采购包号：**）</w:t>
      </w:r>
      <w:r>
        <w:rPr>
          <w:highlight w:val="none"/>
        </w:rPr>
      </w:r>
      <w:r/>
    </w:p>
    <w:p>
      <w:pPr>
        <w:pStyle w:val="958"/>
        <w:ind w:firstLine="480"/>
        <w:spacing w:line="0" w:lineRule="atLeas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项目（采购包号：**）采购活动由本单位提供服务。</w:t>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highlight w:val="none"/>
        </w:rPr>
      </w:r>
      <w:r/>
    </w:p>
    <w:p>
      <w:pPr>
        <w:pStyle w:val="958"/>
        <w:ind w:firstLine="480"/>
        <w:spacing w:line="0" w:lineRule="atLeas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备注：</w:t>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highlight w:val="none"/>
        </w:rPr>
      </w:r>
      <w:r/>
    </w:p>
    <w:p>
      <w:pPr>
        <w:pStyle w:val="958"/>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highlight w:val="none"/>
        </w:rPr>
      </w:r>
      <w:r/>
    </w:p>
    <w:p>
      <w:pPr>
        <w:pStyle w:val="958"/>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rPr>
          <w:highlight w:val="none"/>
        </w:rPr>
      </w:r>
      <w:r/>
    </w:p>
    <w:p>
      <w:pPr>
        <w:pStyle w:val="958"/>
        <w:ind w:right="1559" w:firstLine="624"/>
        <w:jc w:val="center"/>
        <w:spacing w:line="0" w:lineRule="atLeas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highlight w:val="none"/>
        </w:rPr>
      </w:r>
      <w:r/>
    </w:p>
    <w:p>
      <w:pPr>
        <w:pStyle w:val="958"/>
        <w:ind w:right="1559" w:firstLine="480"/>
        <w:jc w:val="center"/>
        <w:spacing w:line="0" w:lineRule="atLeas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highlight w:val="none"/>
        </w:rPr>
      </w:r>
      <w:r/>
    </w:p>
    <w:p>
      <w:pPr>
        <w:pStyle w:val="95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1实质性要求响应及偏离表（采购包号：**）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609"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highlight w:val="none"/>
              </w:rPr>
              <w:t xml:space="preserve">招标文件（含技术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highlight w:val="none"/>
              </w:rPr>
            </w:r>
            <w:r/>
          </w:p>
        </w:tc>
        <w:tc>
          <w:tcPr>
            <w:tcW w:w="3317"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1526"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609"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17"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3609"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17"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609"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317"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highlight w:val="none"/>
        </w:rPr>
        <w:t xml:space="preserve">招标文件（含技术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3.投标人未对实质性要求逐条作出明确响应的，或未按招标文件要求提供证明材料的，该采购包作无效投标处理。</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rPr>
          <w:rFonts w:hint="eastAsia" w:ascii="宋体" w:hAnsi="宋体" w:cs="仿宋"/>
          <w:b/>
          <w:bCs/>
          <w:color w:val="000000"/>
          <w:sz w:val="32"/>
          <w:szCs w:val="32"/>
          <w:highlight w:val="none"/>
        </w:rPr>
      </w:pPr>
      <w:r>
        <w:rPr>
          <w:highlight w:val="none"/>
        </w:rPr>
      </w:r>
      <w:bookmarkEnd w:id="187"/>
      <w:r>
        <w:rPr>
          <w:highlight w:val="none"/>
        </w:rPr>
      </w:r>
      <w:bookmarkEnd w:id="188"/>
      <w:r>
        <w:rPr>
          <w:highlight w:val="none"/>
        </w:rPr>
      </w:r>
      <w:bookmarkEnd w:id="209"/>
      <w:r>
        <w:rPr>
          <w:highlight w:val="none"/>
        </w:rPr>
      </w:r>
      <w:r/>
    </w:p>
    <w:p>
      <w:pPr>
        <w:pStyle w:val="958"/>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highlight w:val="none"/>
        </w:rPr>
      </w:r>
      <w:r/>
    </w:p>
    <w:p>
      <w:pPr>
        <w:pStyle w:val="958"/>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highlight w:val="none"/>
        </w:rPr>
      </w:r>
      <w:r/>
    </w:p>
    <w:p>
      <w:pPr>
        <w:pStyle w:val="9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highlight w:val="none"/>
        </w:rPr>
      </w:r>
      <w:r/>
    </w:p>
    <w:p>
      <w:pPr>
        <w:pStyle w:val="95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highlight w:val="none"/>
        </w:rPr>
      </w:r>
      <w:r/>
    </w:p>
    <w:p>
      <w:pPr>
        <w:pStyle w:val="958"/>
        <w:rPr>
          <w:rFonts w:ascii="宋体" w:hAnsi="宋体"/>
          <w:color w:val="000000"/>
          <w:sz w:val="24"/>
          <w:szCs w:val="24"/>
          <w:highlight w:val="none"/>
        </w:rPr>
      </w:pPr>
      <w:r>
        <w:rPr>
          <w:rFonts w:hint="eastAsia" w:ascii="宋体" w:hAnsi="宋体"/>
          <w:color w:val="000000"/>
          <w:sz w:val="24"/>
          <w:szCs w:val="24"/>
          <w:highlight w:val="none"/>
        </w:rPr>
        <w:t xml:space="preserve">日期：    </w:t>
      </w:r>
      <w:r>
        <w:rPr>
          <w:highlight w:val="none"/>
        </w:rPr>
      </w:r>
      <w:r/>
    </w:p>
    <w:p>
      <w:pPr>
        <w:pStyle w:val="958"/>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972"/>
        <w:rPr>
          <w:rFonts w:hint="eastAsia"/>
          <w:color w:val="000000"/>
          <w:sz w:val="24"/>
          <w:szCs w:val="24"/>
          <w:highlight w:val="none"/>
        </w:rPr>
      </w:pPr>
      <w:r>
        <w:rPr>
          <w:rFonts w:hint="eastAsia"/>
          <w:color w:val="000000"/>
          <w:sz w:val="24"/>
          <w:szCs w:val="24"/>
          <w:highlight w:val="none"/>
        </w:rPr>
      </w:r>
      <w:r>
        <w:rPr>
          <w:highlight w:val="none"/>
        </w:rPr>
      </w:r>
      <w:r/>
    </w:p>
    <w:p>
      <w:pPr>
        <w:pStyle w:val="972"/>
        <w:rPr>
          <w:color w:val="000000"/>
          <w:sz w:val="24"/>
          <w:szCs w:val="24"/>
          <w:highlight w:val="none"/>
        </w:rPr>
      </w:pPr>
      <w:r>
        <w:rPr>
          <w:color w:val="000000"/>
          <w:sz w:val="24"/>
          <w:szCs w:val="24"/>
          <w:highlight w:val="none"/>
        </w:rPr>
      </w:r>
      <w:r>
        <w:rPr>
          <w:highlight w:val="none"/>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imSun">
    <w:panose1 w:val="0201060003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8"/>
      <w:isLgl w:val="false"/>
      <w:suff w:val="tab"/>
      <w:lvlText w:val="附录%1."/>
      <w:lvlJc w:val="left"/>
      <w:pPr>
        <w:pStyle w:val="9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pStyle w:val="958"/>
        <w:ind w:left="709" w:hanging="709"/>
        <w:tabs>
          <w:tab w:val="num" w:pos="709" w:leader="none"/>
        </w:tabs>
      </w:pPr>
      <w:rPr>
        <w:rFonts w:hint="eastAsia"/>
      </w:rPr>
    </w:lvl>
    <w:lvl w:ilvl="1">
      <w:start w:val="1"/>
      <w:numFmt w:val="decimal"/>
      <w:isLgl w:val="false"/>
      <w:suff w:val="tab"/>
      <w:lvlText w:val="%1.%2"/>
      <w:lvlJc w:val="left"/>
      <w:pPr>
        <w:pStyle w:val="958"/>
        <w:ind w:left="709" w:hanging="709"/>
        <w:tabs>
          <w:tab w:val="num" w:pos="709" w:leader="none"/>
        </w:tabs>
      </w:pPr>
      <w:rPr>
        <w:rFonts w:hint="eastAsia"/>
      </w:rPr>
    </w:lvl>
    <w:lvl w:ilvl="2">
      <w:start w:val="1"/>
      <w:numFmt w:val="decimal"/>
      <w:isLgl w:val="false"/>
      <w:suff w:val="tab"/>
      <w:lvlText w:val="%1.%2.%3."/>
      <w:lvlJc w:val="left"/>
      <w:pPr>
        <w:pStyle w:val="958"/>
        <w:ind w:left="425" w:hanging="425"/>
        <w:tabs>
          <w:tab w:val="num" w:pos="425" w:leader="none"/>
        </w:tabs>
      </w:pPr>
      <w:rPr>
        <w:rFonts w:hint="eastAsia"/>
      </w:rPr>
    </w:lvl>
    <w:lvl w:ilvl="3">
      <w:start w:val="1"/>
      <w:numFmt w:val="decimal"/>
      <w:isLgl w:val="false"/>
      <w:suff w:val="tab"/>
      <w:lvlText w:val="%1.%2.%3.%4."/>
      <w:lvlJc w:val="left"/>
      <w:pPr>
        <w:pStyle w:val="958"/>
        <w:ind w:left="851" w:hanging="851"/>
        <w:tabs>
          <w:tab w:val="num" w:pos="851" w:leader="none"/>
        </w:tabs>
      </w:pPr>
      <w:rPr>
        <w:rFonts w:hint="eastAsia"/>
      </w:rPr>
    </w:lvl>
    <w:lvl w:ilvl="4">
      <w:start w:val="1"/>
      <w:numFmt w:val="decimal"/>
      <w:isLgl w:val="false"/>
      <w:suff w:val="tab"/>
      <w:lvlText w:val="%1.%2.%3.%4.%5."/>
      <w:lvlJc w:val="left"/>
      <w:pPr>
        <w:pStyle w:val="958"/>
        <w:ind w:left="992" w:hanging="992"/>
        <w:tabs>
          <w:tab w:val="num" w:pos="992" w:leader="none"/>
        </w:tabs>
      </w:pPr>
      <w:rPr>
        <w:rFonts w:hint="eastAsia"/>
      </w:rPr>
    </w:lvl>
    <w:lvl w:ilvl="5">
      <w:start w:val="1"/>
      <w:numFmt w:val="decimal"/>
      <w:isLgl w:val="false"/>
      <w:suff w:val="tab"/>
      <w:lvlText w:val="%1.%2.%3.%4.%5.%6."/>
      <w:lvlJc w:val="left"/>
      <w:pPr>
        <w:pStyle w:val="958"/>
        <w:ind w:left="1134" w:hanging="1134"/>
        <w:tabs>
          <w:tab w:val="num" w:pos="1134" w:leader="none"/>
        </w:tabs>
      </w:pPr>
      <w:rPr>
        <w:rFonts w:hint="eastAsia"/>
      </w:rPr>
    </w:lvl>
    <w:lvl w:ilvl="6">
      <w:start w:val="1"/>
      <w:numFmt w:val="decimal"/>
      <w:isLgl w:val="false"/>
      <w:suff w:val="tab"/>
      <w:lvlText w:val="%1.%2.%3.%4.%5.%6.%7."/>
      <w:lvlJc w:val="left"/>
      <w:pPr>
        <w:pStyle w:val="958"/>
        <w:ind w:left="1276" w:hanging="1276"/>
        <w:tabs>
          <w:tab w:val="num" w:pos="1276" w:leader="none"/>
        </w:tabs>
      </w:pPr>
      <w:rPr>
        <w:rFonts w:hint="eastAsia"/>
      </w:rPr>
    </w:lvl>
    <w:lvl w:ilvl="7">
      <w:start w:val="1"/>
      <w:numFmt w:val="decimal"/>
      <w:isLgl w:val="false"/>
      <w:suff w:val="tab"/>
      <w:lvlText w:val="%1.%2.%3.%4.%5.%6.%7.%8."/>
      <w:lvlJc w:val="left"/>
      <w:pPr>
        <w:pStyle w:val="958"/>
        <w:ind w:left="1418" w:hanging="1418"/>
        <w:tabs>
          <w:tab w:val="num" w:pos="1418" w:leader="none"/>
        </w:tabs>
      </w:pPr>
      <w:rPr>
        <w:rFonts w:hint="eastAsia"/>
      </w:rPr>
    </w:lvl>
    <w:lvl w:ilvl="8">
      <w:start w:val="1"/>
      <w:numFmt w:val="decimal"/>
      <w:isLgl w:val="false"/>
      <w:suff w:val="tab"/>
      <w:lvlText w:val="%1.%2.%3.%4.%5.%6.%7.%8.%9."/>
      <w:lvlJc w:val="left"/>
      <w:pPr>
        <w:pStyle w:val="95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58"/>
        <w:ind w:left="0" w:firstLine="0"/>
      </w:pPr>
      <w:rPr>
        <w:rFonts w:hint="eastAsia"/>
      </w:rPr>
    </w:lvl>
    <w:lvl w:ilvl="1">
      <w:start w:val="1"/>
      <w:numFmt w:val="decimal"/>
      <w:isLgl w:val="false"/>
      <w:suff w:val="nothing"/>
      <w:lvlText w:val="%2、"/>
      <w:lvlJc w:val="left"/>
      <w:pPr>
        <w:pStyle w:val="958"/>
        <w:ind w:left="0" w:firstLine="0"/>
      </w:pPr>
      <w:rPr>
        <w:rFonts w:hint="eastAsia"/>
      </w:rPr>
    </w:lvl>
    <w:lvl w:ilvl="2">
      <w:start w:val="1"/>
      <w:numFmt w:val="decimal"/>
      <w:isLgl w:val="false"/>
      <w:suff w:val="nothing"/>
      <w:lvlText w:val="%2.%3 "/>
      <w:lvlJc w:val="left"/>
      <w:pPr>
        <w:pStyle w:val="958"/>
        <w:ind w:left="0" w:firstLine="0"/>
      </w:pPr>
      <w:rPr>
        <w:rFonts w:hint="eastAsia"/>
      </w:rPr>
    </w:lvl>
    <w:lvl w:ilvl="3">
      <w:start w:val="1"/>
      <w:numFmt w:val="decimal"/>
      <w:isLgl w:val="false"/>
      <w:suff w:val="nothing"/>
      <w:lvlText w:val="%2.%3.%4 "/>
      <w:lvlJc w:val="left"/>
      <w:pPr>
        <w:pStyle w:val="958"/>
        <w:ind w:left="0" w:firstLine="0"/>
      </w:pPr>
      <w:rPr>
        <w:rFonts w:hint="eastAsia"/>
      </w:rPr>
    </w:lvl>
    <w:lvl w:ilvl="4">
      <w:start w:val="1"/>
      <w:numFmt w:val="decimal"/>
      <w:isLgl w:val="false"/>
      <w:suff w:val="nothing"/>
      <w:lvlText w:val="%2.%3.%4.%5 "/>
      <w:lvlJc w:val="left"/>
      <w:pPr>
        <w:pStyle w:val="958"/>
        <w:ind w:left="0" w:firstLine="0"/>
      </w:pPr>
      <w:rPr>
        <w:rFonts w:hint="eastAsia"/>
      </w:rPr>
    </w:lvl>
    <w:lvl w:ilvl="5">
      <w:start w:val="1"/>
      <w:numFmt w:val="decimal"/>
      <w:pStyle w:val="964"/>
      <w:isLgl w:val="false"/>
      <w:suff w:val="nothing"/>
      <w:lvlText w:val=""/>
      <w:lvlJc w:val="left"/>
      <w:pPr>
        <w:pStyle w:val="958"/>
        <w:ind w:left="0" w:firstLine="0"/>
      </w:pPr>
      <w:rPr>
        <w:rFonts w:hint="eastAsia"/>
      </w:rPr>
    </w:lvl>
    <w:lvl w:ilvl="6">
      <w:start w:val="1"/>
      <w:numFmt w:val="decimal"/>
      <w:pStyle w:val="965"/>
      <w:isLgl w:val="false"/>
      <w:suff w:val="nothing"/>
      <w:lvlText w:val=""/>
      <w:lvlJc w:val="left"/>
      <w:pPr>
        <w:pStyle w:val="958"/>
        <w:ind w:left="0" w:firstLine="0"/>
      </w:pPr>
      <w:rPr>
        <w:rFonts w:hint="eastAsia"/>
      </w:rPr>
    </w:lvl>
    <w:lvl w:ilvl="7">
      <w:start w:val="1"/>
      <w:numFmt w:val="decimal"/>
      <w:pStyle w:val="966"/>
      <w:isLgl w:val="false"/>
      <w:suff w:val="nothing"/>
      <w:lvlText w:val=""/>
      <w:lvlJc w:val="left"/>
      <w:pPr>
        <w:pStyle w:val="958"/>
        <w:ind w:left="0" w:firstLine="0"/>
      </w:pPr>
      <w:rPr>
        <w:rFonts w:hint="eastAsia"/>
      </w:rPr>
    </w:lvl>
    <w:lvl w:ilvl="8">
      <w:start w:val="1"/>
      <w:numFmt w:val="decimal"/>
      <w:pStyle w:val="967"/>
      <w:isLgl w:val="false"/>
      <w:suff w:val="nothing"/>
      <w:lvlText w:val=""/>
      <w:lvlJc w:val="left"/>
      <w:pPr>
        <w:pStyle w:val="958"/>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szCs w:val="21"/>
      <w:lang w:val="en-US" w:eastAsia="zh-CN" w:bidi="ar-SA"/>
    </w:rPr>
  </w:style>
  <w:style w:type="paragraph" w:styleId="959">
    <w:name w:val="标题 1"/>
    <w:basedOn w:val="958"/>
    <w:next w:val="958"/>
    <w:link w:val="970"/>
    <w:qFormat/>
    <w:pPr>
      <w:jc w:val="center"/>
      <w:keepNext/>
      <w:outlineLvl w:val="0"/>
    </w:pPr>
    <w:rPr>
      <w:rFonts w:ascii="楷体_GB2312" w:eastAsia="楷体_GB2312"/>
      <w:sz w:val="28"/>
      <w:szCs w:val="28"/>
    </w:rPr>
  </w:style>
  <w:style w:type="paragraph" w:styleId="960">
    <w:name w:val="标题 2"/>
    <w:basedOn w:val="958"/>
    <w:next w:val="972"/>
    <w:link w:val="971"/>
    <w:qFormat/>
    <w:pPr>
      <w:jc w:val="center"/>
      <w:keepLines/>
      <w:keepNext/>
      <w:spacing w:before="260" w:after="260" w:line="416" w:lineRule="auto"/>
      <w:outlineLvl w:val="1"/>
    </w:pPr>
    <w:rPr>
      <w:rFonts w:ascii="Arial" w:hAnsi="Arial" w:eastAsia="幼圆" w:cs="Arial"/>
      <w:b/>
      <w:bCs/>
      <w:sz w:val="44"/>
      <w:szCs w:val="44"/>
    </w:rPr>
  </w:style>
  <w:style w:type="paragraph" w:styleId="961">
    <w:name w:val="标题 3"/>
    <w:basedOn w:val="958"/>
    <w:next w:val="972"/>
    <w:link w:val="974"/>
    <w:qFormat/>
    <w:pPr>
      <w:keepLines/>
      <w:keepNext/>
      <w:spacing w:before="260" w:after="260" w:line="416" w:lineRule="auto"/>
      <w:outlineLvl w:val="2"/>
    </w:pPr>
    <w:rPr>
      <w:b/>
      <w:bCs/>
      <w:sz w:val="32"/>
      <w:szCs w:val="32"/>
    </w:rPr>
  </w:style>
  <w:style w:type="paragraph" w:styleId="962">
    <w:name w:val="标题 4"/>
    <w:basedOn w:val="958"/>
    <w:next w:val="972"/>
    <w:link w:val="975"/>
    <w:qFormat/>
    <w:pPr>
      <w:keepLines/>
      <w:keepNext/>
      <w:spacing w:before="280" w:after="290" w:line="376" w:lineRule="auto"/>
      <w:outlineLvl w:val="3"/>
    </w:pPr>
    <w:rPr>
      <w:rFonts w:ascii="Arial" w:hAnsi="Arial" w:eastAsia="黑体" w:cs="Arial"/>
      <w:b/>
      <w:bCs/>
      <w:sz w:val="28"/>
      <w:szCs w:val="28"/>
    </w:rPr>
  </w:style>
  <w:style w:type="paragraph" w:styleId="963">
    <w:name w:val="标题 5"/>
    <w:basedOn w:val="958"/>
    <w:next w:val="972"/>
    <w:link w:val="976"/>
    <w:qFormat/>
    <w:pPr>
      <w:keepNext/>
      <w:outlineLvl w:val="4"/>
    </w:pPr>
    <w:rPr>
      <w:rFonts w:ascii="宋体"/>
      <w:color w:val="000000"/>
      <w:sz w:val="28"/>
      <w:szCs w:val="28"/>
    </w:rPr>
  </w:style>
  <w:style w:type="paragraph" w:styleId="964">
    <w:name w:val="标题 6"/>
    <w:basedOn w:val="958"/>
    <w:next w:val="958"/>
    <w:link w:val="977"/>
    <w:qFormat/>
    <w:pPr>
      <w:numPr>
        <w:ilvl w:val="5"/>
        <w:numId w:val="1"/>
      </w:numPr>
      <w:keepLines/>
      <w:keepNext/>
      <w:spacing w:before="240" w:after="64" w:line="320" w:lineRule="auto"/>
      <w:outlineLvl w:val="5"/>
    </w:pPr>
    <w:rPr>
      <w:rFonts w:ascii="Arial" w:hAnsi="Arial" w:eastAsia="黑体"/>
      <w:b/>
      <w:bCs/>
      <w:sz w:val="24"/>
      <w:szCs w:val="24"/>
    </w:rPr>
  </w:style>
  <w:style w:type="paragraph" w:styleId="965">
    <w:name w:val="标题 7"/>
    <w:basedOn w:val="958"/>
    <w:next w:val="958"/>
    <w:link w:val="978"/>
    <w:qFormat/>
    <w:pPr>
      <w:numPr>
        <w:ilvl w:val="6"/>
        <w:numId w:val="1"/>
      </w:numPr>
      <w:keepLines/>
      <w:keepNext/>
      <w:spacing w:before="240" w:after="64" w:line="320" w:lineRule="auto"/>
      <w:outlineLvl w:val="6"/>
    </w:pPr>
    <w:rPr>
      <w:b/>
      <w:bCs/>
      <w:sz w:val="24"/>
      <w:szCs w:val="24"/>
    </w:rPr>
  </w:style>
  <w:style w:type="paragraph" w:styleId="966">
    <w:name w:val="标题 8"/>
    <w:basedOn w:val="958"/>
    <w:next w:val="958"/>
    <w:link w:val="979"/>
    <w:qFormat/>
    <w:pPr>
      <w:numPr>
        <w:ilvl w:val="7"/>
        <w:numId w:val="1"/>
      </w:numPr>
      <w:keepLines/>
      <w:keepNext/>
      <w:spacing w:before="240" w:after="64" w:line="320" w:lineRule="auto"/>
      <w:outlineLvl w:val="7"/>
    </w:pPr>
    <w:rPr>
      <w:rFonts w:ascii="Arial" w:hAnsi="Arial" w:eastAsia="黑体"/>
      <w:sz w:val="24"/>
      <w:szCs w:val="24"/>
    </w:rPr>
  </w:style>
  <w:style w:type="paragraph" w:styleId="967">
    <w:name w:val="标题 9"/>
    <w:basedOn w:val="958"/>
    <w:next w:val="958"/>
    <w:link w:val="980"/>
    <w:qFormat/>
    <w:pPr>
      <w:numPr>
        <w:ilvl w:val="8"/>
        <w:numId w:val="1"/>
      </w:numPr>
      <w:keepLines/>
      <w:keepNext/>
      <w:spacing w:before="240" w:after="64" w:line="320" w:lineRule="auto"/>
      <w:outlineLvl w:val="8"/>
    </w:pPr>
    <w:rPr>
      <w:rFonts w:ascii="Arial" w:hAnsi="Arial" w:eastAsia="黑体"/>
    </w:rPr>
  </w:style>
  <w:style w:type="character" w:styleId="968">
    <w:name w:val="默认段落字体"/>
    <w:next w:val="968"/>
    <w:link w:val="958"/>
    <w:uiPriority w:val="1"/>
    <w:unhideWhenUsed/>
  </w:style>
  <w:style w:type="table" w:styleId="969">
    <w:name w:val="普通表格"/>
    <w:next w:val="969"/>
    <w:link w:val="958"/>
    <w:uiPriority w:val="99"/>
    <w:unhideWhenUsed/>
    <w:tblPr/>
  </w:style>
  <w:style w:type="character" w:styleId="970">
    <w:name w:val="标题 1 字符"/>
    <w:next w:val="970"/>
    <w:link w:val="959"/>
    <w:rPr>
      <w:rFonts w:ascii="楷体_GB2312" w:hAnsi="Times New Roman" w:eastAsia="楷体_GB2312" w:cs="Times New Roman"/>
      <w:sz w:val="28"/>
      <w:szCs w:val="28"/>
    </w:rPr>
  </w:style>
  <w:style w:type="character" w:styleId="971">
    <w:name w:val="标题 2 字符"/>
    <w:next w:val="971"/>
    <w:link w:val="960"/>
    <w:rPr>
      <w:rFonts w:ascii="Arial" w:hAnsi="Arial" w:eastAsia="幼圆" w:cs="Arial"/>
      <w:b/>
      <w:bCs/>
      <w:sz w:val="44"/>
      <w:szCs w:val="44"/>
    </w:rPr>
  </w:style>
  <w:style w:type="paragraph" w:styleId="972">
    <w:name w:val="正文缩进"/>
    <w:basedOn w:val="958"/>
    <w:next w:val="972"/>
    <w:link w:val="973"/>
    <w:pPr>
      <w:ind w:firstLine="420"/>
    </w:pPr>
  </w:style>
  <w:style w:type="character" w:styleId="973">
    <w:name w:val="正文缩进 字符"/>
    <w:next w:val="973"/>
    <w:link w:val="972"/>
    <w:rPr>
      <w:rFonts w:ascii="Times New Roman" w:hAnsi="Times New Roman" w:eastAsia="宋体" w:cs="Times New Roman"/>
      <w:szCs w:val="21"/>
    </w:rPr>
  </w:style>
  <w:style w:type="character" w:styleId="974">
    <w:name w:val="标题 3 字符"/>
    <w:next w:val="974"/>
    <w:link w:val="961"/>
    <w:rPr>
      <w:rFonts w:ascii="Times New Roman" w:hAnsi="Times New Roman" w:eastAsia="宋体" w:cs="Times New Roman"/>
      <w:b/>
      <w:bCs/>
      <w:sz w:val="32"/>
      <w:szCs w:val="32"/>
    </w:rPr>
  </w:style>
  <w:style w:type="character" w:styleId="975">
    <w:name w:val="标题 4 字符"/>
    <w:next w:val="975"/>
    <w:link w:val="962"/>
    <w:rPr>
      <w:rFonts w:ascii="Arial" w:hAnsi="Arial" w:eastAsia="黑体" w:cs="Arial"/>
      <w:b/>
      <w:bCs/>
      <w:sz w:val="28"/>
      <w:szCs w:val="28"/>
    </w:rPr>
  </w:style>
  <w:style w:type="character" w:styleId="976">
    <w:name w:val="标题 5 字符"/>
    <w:next w:val="976"/>
    <w:link w:val="963"/>
    <w:rPr>
      <w:rFonts w:ascii="宋体" w:hAnsi="Times New Roman" w:eastAsia="宋体" w:cs="Times New Roman"/>
      <w:color w:val="000000"/>
      <w:sz w:val="28"/>
      <w:szCs w:val="28"/>
    </w:rPr>
  </w:style>
  <w:style w:type="character" w:styleId="977">
    <w:name w:val="标题 6 字符"/>
    <w:next w:val="977"/>
    <w:link w:val="964"/>
    <w:rPr>
      <w:rFonts w:ascii="Arial" w:hAnsi="Arial" w:eastAsia="黑体" w:cs="Times New Roman"/>
      <w:b/>
      <w:bCs/>
      <w:sz w:val="24"/>
      <w:szCs w:val="24"/>
    </w:rPr>
  </w:style>
  <w:style w:type="character" w:styleId="978">
    <w:name w:val="标题 7 字符"/>
    <w:next w:val="978"/>
    <w:link w:val="965"/>
    <w:rPr>
      <w:rFonts w:ascii="Times New Roman" w:hAnsi="Times New Roman" w:eastAsia="宋体" w:cs="Times New Roman"/>
      <w:b/>
      <w:bCs/>
      <w:sz w:val="24"/>
      <w:szCs w:val="24"/>
    </w:rPr>
  </w:style>
  <w:style w:type="character" w:styleId="979">
    <w:name w:val="标题 8 字符"/>
    <w:next w:val="979"/>
    <w:link w:val="966"/>
    <w:rPr>
      <w:rFonts w:ascii="Arial" w:hAnsi="Arial" w:eastAsia="黑体" w:cs="Times New Roman"/>
      <w:sz w:val="24"/>
      <w:szCs w:val="24"/>
    </w:rPr>
  </w:style>
  <w:style w:type="character" w:styleId="980">
    <w:name w:val="标题 9 字符"/>
    <w:next w:val="980"/>
    <w:link w:val="967"/>
    <w:rPr>
      <w:rFonts w:ascii="Arial" w:hAnsi="Arial" w:eastAsia="黑体" w:cs="Times New Roman"/>
      <w:szCs w:val="21"/>
    </w:rPr>
  </w:style>
  <w:style w:type="paragraph" w:styleId="981">
    <w:name w:val="列表 3"/>
    <w:basedOn w:val="958"/>
    <w:next w:val="981"/>
    <w:link w:val="958"/>
    <w:pPr>
      <w:ind w:left="100" w:hanging="200"/>
    </w:pPr>
  </w:style>
  <w:style w:type="paragraph" w:styleId="982">
    <w:name w:val="目录 7"/>
    <w:basedOn w:val="958"/>
    <w:next w:val="958"/>
    <w:link w:val="958"/>
    <w:semiHidden/>
    <w:pPr>
      <w:ind w:left="1260"/>
      <w:jc w:val="left"/>
    </w:pPr>
  </w:style>
  <w:style w:type="paragraph" w:styleId="983">
    <w:name w:val="文档结构图"/>
    <w:basedOn w:val="958"/>
    <w:next w:val="983"/>
    <w:link w:val="984"/>
    <w:semiHidden/>
    <w:pPr>
      <w:shd w:val="clear" w:color="auto" w:fill="000080"/>
    </w:pPr>
  </w:style>
  <w:style w:type="character" w:styleId="984">
    <w:name w:val="文档结构图 字符"/>
    <w:next w:val="984"/>
    <w:link w:val="983"/>
    <w:semiHidden/>
    <w:rPr>
      <w:rFonts w:ascii="Times New Roman" w:hAnsi="Times New Roman" w:eastAsia="宋体" w:cs="Times New Roman"/>
      <w:szCs w:val="21"/>
      <w:shd w:val="clear" w:color="auto" w:fill="000080"/>
    </w:rPr>
  </w:style>
  <w:style w:type="paragraph" w:styleId="985">
    <w:name w:val="批注文字"/>
    <w:basedOn w:val="958"/>
    <w:next w:val="985"/>
    <w:link w:val="986"/>
    <w:semiHidden/>
    <w:pPr>
      <w:jc w:val="left"/>
    </w:pPr>
  </w:style>
  <w:style w:type="character" w:styleId="986">
    <w:name w:val="批注文字 字符"/>
    <w:next w:val="986"/>
    <w:link w:val="985"/>
    <w:semiHidden/>
    <w:rPr>
      <w:rFonts w:ascii="Times New Roman" w:hAnsi="Times New Roman" w:eastAsia="宋体" w:cs="Times New Roman"/>
      <w:szCs w:val="21"/>
    </w:rPr>
  </w:style>
  <w:style w:type="paragraph" w:styleId="987">
    <w:name w:val="正文文本 3"/>
    <w:basedOn w:val="958"/>
    <w:next w:val="987"/>
    <w:link w:val="988"/>
    <w:rPr>
      <w:rFonts w:ascii="仿宋_GB2312" w:hAnsi="Arial" w:eastAsia="仿宋_GB2312"/>
      <w:sz w:val="32"/>
      <w:szCs w:val="32"/>
    </w:rPr>
  </w:style>
  <w:style w:type="character" w:styleId="988">
    <w:name w:val="正文文本 3 字符"/>
    <w:next w:val="988"/>
    <w:link w:val="987"/>
    <w:rPr>
      <w:rFonts w:ascii="仿宋_GB2312" w:hAnsi="Arial" w:eastAsia="仿宋_GB2312" w:cs="Times New Roman"/>
      <w:sz w:val="32"/>
      <w:szCs w:val="32"/>
    </w:rPr>
  </w:style>
  <w:style w:type="paragraph" w:styleId="989">
    <w:name w:val="正文文本"/>
    <w:basedOn w:val="958"/>
    <w:next w:val="989"/>
    <w:link w:val="990"/>
    <w:rPr>
      <w:rFonts w:ascii="楷体_GB2312" w:hAnsi="Arial" w:eastAsia="楷体_GB2312"/>
      <w:sz w:val="28"/>
      <w:szCs w:val="28"/>
    </w:rPr>
  </w:style>
  <w:style w:type="character" w:styleId="990">
    <w:name w:val="正文文本 字符"/>
    <w:next w:val="990"/>
    <w:link w:val="989"/>
    <w:rPr>
      <w:rFonts w:ascii="楷体_GB2312" w:hAnsi="Arial" w:eastAsia="楷体_GB2312" w:cs="Times New Roman"/>
      <w:sz w:val="28"/>
      <w:szCs w:val="28"/>
    </w:rPr>
  </w:style>
  <w:style w:type="paragraph" w:styleId="991">
    <w:name w:val="正文文本缩进"/>
    <w:basedOn w:val="958"/>
    <w:next w:val="991"/>
    <w:link w:val="992"/>
    <w:pPr>
      <w:ind w:firstLine="645"/>
    </w:pPr>
    <w:rPr>
      <w:rFonts w:ascii="楷体_GB2312" w:eastAsia="楷体_GB2312"/>
      <w:sz w:val="32"/>
      <w:szCs w:val="32"/>
    </w:rPr>
  </w:style>
  <w:style w:type="character" w:styleId="992">
    <w:name w:val="正文文本缩进 字符"/>
    <w:next w:val="992"/>
    <w:link w:val="991"/>
    <w:rPr>
      <w:rFonts w:ascii="楷体_GB2312" w:hAnsi="Times New Roman" w:eastAsia="楷体_GB2312" w:cs="Times New Roman"/>
      <w:sz w:val="32"/>
      <w:szCs w:val="32"/>
    </w:rPr>
  </w:style>
  <w:style w:type="paragraph" w:styleId="993">
    <w:name w:val="列表 2"/>
    <w:basedOn w:val="958"/>
    <w:next w:val="993"/>
    <w:link w:val="958"/>
    <w:pPr>
      <w:ind w:left="100" w:hanging="200"/>
    </w:pPr>
  </w:style>
  <w:style w:type="paragraph" w:styleId="994">
    <w:name w:val="文本块"/>
    <w:next w:val="994"/>
    <w:link w:val="958"/>
    <w:uiPriority w:val="99"/>
    <w:unhideWhenUsed/>
    <w:qFormat/>
    <w:pPr>
      <w:ind w:left="1440" w:right="1440"/>
      <w:jc w:val="both"/>
      <w:spacing w:after="120"/>
      <w:widowControl w:val="off"/>
    </w:pPr>
    <w:rPr>
      <w:sz w:val="21"/>
      <w:szCs w:val="21"/>
      <w:lang w:val="en-US" w:eastAsia="zh-CN" w:bidi="ar-SA"/>
    </w:rPr>
  </w:style>
  <w:style w:type="paragraph" w:styleId="995">
    <w:name w:val="目录 5"/>
    <w:basedOn w:val="958"/>
    <w:next w:val="958"/>
    <w:link w:val="958"/>
    <w:semiHidden/>
    <w:pPr>
      <w:ind w:left="840"/>
      <w:jc w:val="left"/>
    </w:pPr>
  </w:style>
  <w:style w:type="paragraph" w:styleId="996">
    <w:name w:val="目录 3"/>
    <w:basedOn w:val="958"/>
    <w:next w:val="958"/>
    <w:link w:val="958"/>
    <w:semiHidden/>
    <w:pPr>
      <w:ind w:left="420"/>
      <w:jc w:val="left"/>
    </w:pPr>
    <w:rPr>
      <w:i/>
      <w:iCs/>
      <w:szCs w:val="24"/>
    </w:rPr>
  </w:style>
  <w:style w:type="paragraph" w:styleId="997">
    <w:name w:val="纯文本"/>
    <w:basedOn w:val="958"/>
    <w:next w:val="997"/>
    <w:link w:val="998"/>
    <w:rPr>
      <w:rFonts w:ascii="宋体" w:hAnsi="Courier New" w:cs="Courier New"/>
    </w:rPr>
  </w:style>
  <w:style w:type="character" w:styleId="998">
    <w:name w:val="纯文本 字符"/>
    <w:next w:val="998"/>
    <w:link w:val="997"/>
    <w:rPr>
      <w:rFonts w:ascii="宋体" w:hAnsi="Courier New" w:eastAsia="宋体" w:cs="Courier New"/>
      <w:szCs w:val="21"/>
    </w:rPr>
  </w:style>
  <w:style w:type="paragraph" w:styleId="999">
    <w:name w:val="目录 8"/>
    <w:basedOn w:val="958"/>
    <w:next w:val="958"/>
    <w:link w:val="958"/>
    <w:semiHidden/>
    <w:pPr>
      <w:ind w:left="1470"/>
      <w:jc w:val="left"/>
    </w:pPr>
  </w:style>
  <w:style w:type="paragraph" w:styleId="1000">
    <w:name w:val="日期"/>
    <w:basedOn w:val="958"/>
    <w:next w:val="958"/>
    <w:link w:val="1001"/>
    <w:rPr>
      <w:sz w:val="24"/>
      <w:szCs w:val="24"/>
    </w:rPr>
  </w:style>
  <w:style w:type="character" w:styleId="1001">
    <w:name w:val="日期 字符"/>
    <w:next w:val="1001"/>
    <w:link w:val="1000"/>
    <w:rPr>
      <w:rFonts w:ascii="Times New Roman" w:hAnsi="Times New Roman" w:eastAsia="宋体" w:cs="Times New Roman"/>
      <w:sz w:val="24"/>
      <w:szCs w:val="24"/>
    </w:rPr>
  </w:style>
  <w:style w:type="paragraph" w:styleId="1002">
    <w:name w:val="正文文本缩进 2"/>
    <w:basedOn w:val="958"/>
    <w:next w:val="1002"/>
    <w:link w:val="1003"/>
    <w:pPr>
      <w:ind w:left="630" w:firstLine="645"/>
    </w:pPr>
    <w:rPr>
      <w:rFonts w:ascii="Arial" w:hAnsi="Arial" w:eastAsia="仿宋_GB2312" w:cs="Arial"/>
      <w:sz w:val="32"/>
      <w:szCs w:val="32"/>
    </w:rPr>
  </w:style>
  <w:style w:type="character" w:styleId="1003">
    <w:name w:val="正文文本缩进 2 字符"/>
    <w:next w:val="1003"/>
    <w:link w:val="1002"/>
    <w:rPr>
      <w:rFonts w:ascii="Arial" w:hAnsi="Arial" w:eastAsia="仿宋_GB2312" w:cs="Arial"/>
      <w:sz w:val="32"/>
      <w:szCs w:val="32"/>
    </w:rPr>
  </w:style>
  <w:style w:type="paragraph" w:styleId="1004">
    <w:name w:val="批注框文本"/>
    <w:basedOn w:val="958"/>
    <w:next w:val="1004"/>
    <w:link w:val="1005"/>
    <w:semiHidden/>
    <w:rPr>
      <w:sz w:val="18"/>
      <w:szCs w:val="18"/>
    </w:rPr>
  </w:style>
  <w:style w:type="character" w:styleId="1005">
    <w:name w:val="批注框文本 字符"/>
    <w:next w:val="1005"/>
    <w:link w:val="1004"/>
    <w:semiHidden/>
    <w:rPr>
      <w:rFonts w:ascii="Times New Roman" w:hAnsi="Times New Roman" w:eastAsia="宋体" w:cs="Times New Roman"/>
      <w:sz w:val="18"/>
      <w:szCs w:val="18"/>
    </w:rPr>
  </w:style>
  <w:style w:type="paragraph" w:styleId="1006">
    <w:name w:val="页脚"/>
    <w:basedOn w:val="958"/>
    <w:next w:val="1006"/>
    <w:link w:val="1007"/>
    <w:uiPriority w:val="99"/>
    <w:pPr>
      <w:jc w:val="left"/>
      <w:tabs>
        <w:tab w:val="center" w:pos="4153" w:leader="none"/>
        <w:tab w:val="right" w:pos="8306" w:leader="none"/>
      </w:tabs>
    </w:pPr>
    <w:rPr>
      <w:sz w:val="18"/>
      <w:szCs w:val="18"/>
    </w:rPr>
  </w:style>
  <w:style w:type="character" w:styleId="1007">
    <w:name w:val="页脚 字符"/>
    <w:next w:val="1007"/>
    <w:link w:val="1006"/>
    <w:uiPriority w:val="99"/>
    <w:rPr>
      <w:rFonts w:ascii="Times New Roman" w:hAnsi="Times New Roman" w:eastAsia="宋体" w:cs="Times New Roman"/>
      <w:sz w:val="18"/>
      <w:szCs w:val="18"/>
    </w:rPr>
  </w:style>
  <w:style w:type="paragraph" w:styleId="1008">
    <w:name w:val="页眉"/>
    <w:basedOn w:val="958"/>
    <w:next w:val="1008"/>
    <w:link w:val="1009"/>
    <w:pPr>
      <w:jc w:val="center"/>
      <w:tabs>
        <w:tab w:val="center" w:pos="4153" w:leader="none"/>
        <w:tab w:val="right" w:pos="8306" w:leader="none"/>
      </w:tabs>
      <w:pBdr>
        <w:bottom w:val="single" w:color="000000" w:sz="6" w:space="1"/>
      </w:pBdr>
    </w:pPr>
    <w:rPr>
      <w:sz w:val="18"/>
      <w:szCs w:val="18"/>
    </w:rPr>
  </w:style>
  <w:style w:type="character" w:styleId="1009">
    <w:name w:val="页眉 字符"/>
    <w:next w:val="1009"/>
    <w:link w:val="1008"/>
    <w:rPr>
      <w:rFonts w:ascii="Times New Roman" w:hAnsi="Times New Roman" w:eastAsia="宋体" w:cs="Times New Roman"/>
      <w:sz w:val="18"/>
      <w:szCs w:val="18"/>
    </w:rPr>
  </w:style>
  <w:style w:type="paragraph" w:styleId="1010">
    <w:name w:val="目录 1"/>
    <w:basedOn w:val="958"/>
    <w:next w:val="958"/>
    <w:link w:val="958"/>
    <w:semiHidden/>
    <w:pPr>
      <w:jc w:val="left"/>
      <w:spacing w:before="120" w:after="120" w:line="400" w:lineRule="exact"/>
      <w:tabs>
        <w:tab w:val="right" w:pos="8720" w:leader="dot"/>
      </w:tabs>
    </w:pPr>
    <w:rPr>
      <w:rFonts w:ascii="宋体" w:hAnsi="宋体"/>
      <w:caps/>
      <w:sz w:val="24"/>
      <w:szCs w:val="24"/>
    </w:rPr>
  </w:style>
  <w:style w:type="paragraph" w:styleId="1011">
    <w:name w:val="目录 4"/>
    <w:basedOn w:val="958"/>
    <w:next w:val="958"/>
    <w:link w:val="958"/>
    <w:semiHidden/>
    <w:pPr>
      <w:ind w:left="630"/>
      <w:jc w:val="left"/>
    </w:pPr>
  </w:style>
  <w:style w:type="paragraph" w:styleId="1012">
    <w:name w:val="列表"/>
    <w:basedOn w:val="958"/>
    <w:next w:val="1012"/>
    <w:link w:val="958"/>
    <w:pPr>
      <w:ind w:left="200" w:hanging="200"/>
    </w:pPr>
  </w:style>
  <w:style w:type="paragraph" w:styleId="1013">
    <w:name w:val="目录 6"/>
    <w:basedOn w:val="958"/>
    <w:next w:val="958"/>
    <w:link w:val="958"/>
    <w:semiHidden/>
    <w:pPr>
      <w:ind w:left="1050"/>
      <w:jc w:val="left"/>
    </w:pPr>
  </w:style>
  <w:style w:type="paragraph" w:styleId="1014">
    <w:name w:val="正文文本缩进 3"/>
    <w:basedOn w:val="958"/>
    <w:next w:val="1014"/>
    <w:link w:val="1015"/>
    <w:pPr>
      <w:ind w:left="645" w:firstLine="645"/>
    </w:pPr>
    <w:rPr>
      <w:rFonts w:ascii="Arial" w:hAnsi="Arial" w:eastAsia="仿宋_GB2312" w:cs="Arial"/>
      <w:color w:val="ffff00"/>
      <w:sz w:val="32"/>
      <w:szCs w:val="32"/>
    </w:rPr>
  </w:style>
  <w:style w:type="character" w:styleId="1015">
    <w:name w:val="正文文本缩进 3 字符"/>
    <w:next w:val="1015"/>
    <w:link w:val="1014"/>
    <w:rPr>
      <w:rFonts w:ascii="Arial" w:hAnsi="Arial" w:eastAsia="仿宋_GB2312" w:cs="Arial"/>
      <w:color w:val="ffff00"/>
      <w:sz w:val="32"/>
      <w:szCs w:val="32"/>
    </w:rPr>
  </w:style>
  <w:style w:type="paragraph" w:styleId="1016">
    <w:name w:val="图表目录"/>
    <w:basedOn w:val="958"/>
    <w:next w:val="958"/>
    <w:link w:val="958"/>
    <w:semiHidden/>
    <w:pPr>
      <w:ind w:left="840" w:hanging="420"/>
    </w:pPr>
  </w:style>
  <w:style w:type="paragraph" w:styleId="1017">
    <w:name w:val="目录 2"/>
    <w:basedOn w:val="958"/>
    <w:next w:val="958"/>
    <w:link w:val="958"/>
    <w:semiHidden/>
    <w:pPr>
      <w:ind w:left="210"/>
      <w:jc w:val="left"/>
    </w:pPr>
    <w:rPr>
      <w:smallCaps/>
      <w:szCs w:val="24"/>
    </w:rPr>
  </w:style>
  <w:style w:type="paragraph" w:styleId="1018">
    <w:name w:val="目录 9"/>
    <w:basedOn w:val="958"/>
    <w:next w:val="958"/>
    <w:link w:val="958"/>
    <w:semiHidden/>
    <w:pPr>
      <w:ind w:left="1680"/>
      <w:jc w:val="left"/>
    </w:pPr>
  </w:style>
  <w:style w:type="paragraph" w:styleId="1019">
    <w:name w:val="正文文本 2"/>
    <w:basedOn w:val="958"/>
    <w:next w:val="1019"/>
    <w:link w:val="1020"/>
    <w:pPr>
      <w:jc w:val="center"/>
      <w:widowControl/>
    </w:pPr>
    <w:rPr>
      <w:rFonts w:ascii="楷体_GB2312" w:eastAsia="楷体_GB2312"/>
      <w:sz w:val="28"/>
      <w:szCs w:val="28"/>
    </w:rPr>
  </w:style>
  <w:style w:type="character" w:styleId="1020">
    <w:name w:val="正文文本 2 字符"/>
    <w:next w:val="1020"/>
    <w:link w:val="1019"/>
    <w:rPr>
      <w:rFonts w:ascii="楷体_GB2312" w:hAnsi="Times New Roman" w:eastAsia="楷体_GB2312" w:cs="Times New Roman"/>
      <w:sz w:val="28"/>
      <w:szCs w:val="28"/>
    </w:rPr>
  </w:style>
  <w:style w:type="paragraph" w:styleId="1021">
    <w:name w:val="普通(网站)"/>
    <w:basedOn w:val="958"/>
    <w:next w:val="1021"/>
    <w:link w:val="958"/>
    <w:uiPriority w:val="99"/>
    <w:pPr>
      <w:jc w:val="left"/>
      <w:spacing w:before="100" w:beforeAutospacing="1" w:after="100" w:afterAutospacing="1"/>
      <w:widowControl/>
    </w:pPr>
    <w:rPr>
      <w:rFonts w:ascii="宋体" w:hAnsi="宋体" w:cs="宋体"/>
      <w:sz w:val="24"/>
      <w:szCs w:val="24"/>
    </w:rPr>
  </w:style>
  <w:style w:type="paragraph" w:styleId="1022">
    <w:name w:val="索引 1"/>
    <w:basedOn w:val="958"/>
    <w:next w:val="958"/>
    <w:link w:val="958"/>
    <w:semiHidden/>
    <w:pPr>
      <w:spacing w:line="240" w:lineRule="atLeast"/>
    </w:pPr>
    <w:rPr>
      <w:b/>
      <w:bCs/>
    </w:rPr>
  </w:style>
  <w:style w:type="paragraph" w:styleId="1023">
    <w:name w:val="批注主题"/>
    <w:basedOn w:val="985"/>
    <w:next w:val="985"/>
    <w:link w:val="1024"/>
    <w:semiHidden/>
    <w:rPr>
      <w:b/>
      <w:bCs/>
    </w:rPr>
  </w:style>
  <w:style w:type="character" w:styleId="1024">
    <w:name w:val="批注主题 字符"/>
    <w:next w:val="1024"/>
    <w:link w:val="1023"/>
    <w:semiHidden/>
    <w:rPr>
      <w:rFonts w:ascii="Times New Roman" w:hAnsi="Times New Roman" w:eastAsia="宋体" w:cs="Times New Roman"/>
      <w:b/>
      <w:bCs/>
      <w:szCs w:val="21"/>
    </w:rPr>
  </w:style>
  <w:style w:type="paragraph" w:styleId="1025">
    <w:name w:val="正文首行缩进"/>
    <w:basedOn w:val="958"/>
    <w:next w:val="1025"/>
    <w:link w:val="1026"/>
    <w:pPr>
      <w:ind w:firstLine="200"/>
      <w:spacing w:line="360" w:lineRule="auto"/>
    </w:pPr>
    <w:rPr>
      <w:rFonts w:ascii="仿宋_GB2312" w:eastAsia="仿宋_GB2312"/>
      <w:sz w:val="30"/>
      <w:szCs w:val="30"/>
    </w:rPr>
  </w:style>
  <w:style w:type="character" w:styleId="1026">
    <w:name w:val="正文首行缩进 字符"/>
    <w:next w:val="1026"/>
    <w:link w:val="1025"/>
    <w:rPr>
      <w:rFonts w:ascii="仿宋_GB2312" w:hAnsi="Times New Roman" w:eastAsia="仿宋_GB2312" w:cs="Times New Roman"/>
      <w:sz w:val="30"/>
      <w:szCs w:val="30"/>
    </w:rPr>
  </w:style>
  <w:style w:type="paragraph" w:styleId="1027">
    <w:name w:val="正文首行缩进 2"/>
    <w:basedOn w:val="991"/>
    <w:next w:val="1027"/>
    <w:link w:val="1028"/>
    <w:pPr>
      <w:ind w:firstLine="420"/>
      <w:spacing w:line="360" w:lineRule="auto"/>
    </w:pPr>
    <w:rPr>
      <w:rFonts w:ascii="宋体" w:hAnsi="宋体" w:eastAsia="宋体"/>
      <w:sz w:val="21"/>
      <w:szCs w:val="20"/>
    </w:rPr>
  </w:style>
  <w:style w:type="character" w:styleId="1028">
    <w:name w:val="正文首行缩进 2 字符"/>
    <w:next w:val="1028"/>
    <w:link w:val="1027"/>
    <w:rPr>
      <w:rFonts w:ascii="宋体" w:hAnsi="宋体" w:eastAsia="宋体" w:cs="Times New Roman"/>
      <w:sz w:val="32"/>
      <w:szCs w:val="20"/>
    </w:rPr>
  </w:style>
  <w:style w:type="table" w:styleId="1029">
    <w:name w:val="网格型"/>
    <w:basedOn w:val="969"/>
    <w:next w:val="1029"/>
    <w:link w:val="958"/>
    <w:pPr>
      <w:jc w:val="both"/>
      <w:widowControl w:val="off"/>
    </w:pPr>
    <w:rPr>
      <w:rFonts w:ascii="Times New Roman" w:hAnsi="Times New Roman" w:eastAsia="宋体" w:cs="Times New Roman"/>
      <w:sz w:val="20"/>
      <w:szCs w:val="20"/>
    </w:rPr>
    <w:tblPr/>
  </w:style>
  <w:style w:type="character" w:styleId="1030">
    <w:name w:val="要点"/>
    <w:next w:val="1030"/>
    <w:link w:val="958"/>
    <w:uiPriority w:val="22"/>
    <w:qFormat/>
    <w:rPr>
      <w:b/>
      <w:bCs/>
    </w:rPr>
  </w:style>
  <w:style w:type="character" w:styleId="1031">
    <w:name w:val="页码"/>
    <w:next w:val="1031"/>
    <w:link w:val="958"/>
  </w:style>
  <w:style w:type="character" w:styleId="1032">
    <w:name w:val="已访问的超链接"/>
    <w:next w:val="1032"/>
    <w:link w:val="958"/>
    <w:rPr>
      <w:color w:val="800080"/>
      <w:u w:val="single"/>
    </w:rPr>
  </w:style>
  <w:style w:type="character" w:styleId="1033">
    <w:name w:val="超链接"/>
    <w:next w:val="1033"/>
    <w:link w:val="958"/>
    <w:rPr>
      <w:color w:val="0000ff"/>
      <w:u w:val="single"/>
    </w:rPr>
  </w:style>
  <w:style w:type="character" w:styleId="1034">
    <w:name w:val="批注引用"/>
    <w:next w:val="1034"/>
    <w:link w:val="958"/>
    <w:qFormat/>
    <w:rPr>
      <w:sz w:val="21"/>
      <w:szCs w:val="21"/>
    </w:rPr>
  </w:style>
  <w:style w:type="character" w:styleId="1035">
    <w:name w:val="列出段落 Char,Bullet List Char,numbered Char,FooterText Char,List Paragraph1 Char,Paragraphe de liste1 Char"/>
    <w:next w:val="1035"/>
    <w:link w:val="1036"/>
    <w:rPr>
      <w:rFonts w:ascii="Calibri" w:hAnsi="Calibri"/>
      <w:sz w:val="24"/>
      <w:szCs w:val="24"/>
      <w:lang w:eastAsia="en-US" w:bidi="en-US"/>
    </w:rPr>
  </w:style>
  <w:style w:type="paragraph" w:styleId="1036">
    <w:name w:val="列出段落1"/>
    <w:basedOn w:val="958"/>
    <w:next w:val="1036"/>
    <w:link w:val="1035"/>
    <w:qFormat/>
    <w:pPr>
      <w:contextualSpacing/>
      <w:ind w:left="720"/>
      <w:jc w:val="left"/>
      <w:widowControl/>
    </w:pPr>
    <w:rPr>
      <w:rFonts w:ascii="Calibri" w:hAnsi="Calibri" w:eastAsia="宋体" w:cs="Times New Roman"/>
      <w:sz w:val="24"/>
      <w:szCs w:val="24"/>
      <w:lang w:eastAsia="en-US" w:bidi="en-US"/>
    </w:rPr>
  </w:style>
  <w:style w:type="character" w:styleId="1037">
    <w:name w:val="二级目录 Char"/>
    <w:next w:val="1037"/>
    <w:link w:val="1038"/>
    <w:rPr>
      <w:b/>
      <w:sz w:val="30"/>
      <w:szCs w:val="28"/>
    </w:rPr>
  </w:style>
  <w:style w:type="paragraph" w:styleId="1038">
    <w:name w:val="二级目录"/>
    <w:next w:val="958"/>
    <w:link w:val="1037"/>
    <w:pPr>
      <w:numPr>
        <w:ilvl w:val="0"/>
        <w:numId w:val="2"/>
      </w:numPr>
      <w:tabs>
        <w:tab w:val="left" w:pos="907" w:leader="none"/>
        <w:tab w:val="left" w:pos="1145" w:leader="none"/>
      </w:tabs>
      <w:outlineLvl w:val="1"/>
    </w:pPr>
    <w:rPr>
      <w:b/>
      <w:sz w:val="30"/>
      <w:szCs w:val="28"/>
      <w:lang w:val="en-US" w:eastAsia="zh-CN" w:bidi="ar-SA"/>
    </w:rPr>
  </w:style>
  <w:style w:type="character" w:styleId="1039">
    <w:name w:val="font5 Char"/>
    <w:next w:val="1039"/>
    <w:link w:val="958"/>
    <w:rPr>
      <w:rFonts w:ascii="宋体" w:hAnsi="宋体" w:eastAsia="宋体"/>
      <w:sz w:val="28"/>
      <w:szCs w:val="28"/>
      <w:lang w:val="en-US" w:eastAsia="zh-CN" w:bidi="ar-SA"/>
    </w:rPr>
  </w:style>
  <w:style w:type="paragraph" w:styleId="1040">
    <w:name w:val="Char"/>
    <w:basedOn w:val="958"/>
    <w:next w:val="1040"/>
    <w:link w:val="958"/>
    <w:pPr>
      <w:ind w:firstLine="200"/>
      <w:tabs>
        <w:tab w:val="left" w:pos="360" w:leader="none"/>
      </w:tabs>
    </w:pPr>
    <w:rPr>
      <w:sz w:val="28"/>
      <w:szCs w:val="30"/>
    </w:rPr>
  </w:style>
  <w:style w:type="paragraph" w:styleId="1041">
    <w:name w:val="Body Text(ch)"/>
    <w:basedOn w:val="958"/>
    <w:next w:val="989"/>
    <w:link w:val="958"/>
    <w:pPr>
      <w:spacing w:after="120"/>
    </w:pPr>
    <w:rPr>
      <w:rFonts w:ascii="宋体" w:hAnsi="Arial"/>
      <w:bCs/>
      <w:iCs/>
      <w:szCs w:val="24"/>
    </w:rPr>
  </w:style>
  <w:style w:type="paragraph" w:styleId="1042">
    <w:name w:val="Char Char Char Char Char Char Char Char"/>
    <w:basedOn w:val="958"/>
    <w:next w:val="1042"/>
    <w:link w:val="958"/>
    <w:pPr>
      <w:jc w:val="left"/>
      <w:spacing w:after="160" w:line="240" w:lineRule="exact"/>
      <w:widowControl/>
    </w:pPr>
    <w:rPr>
      <w:rFonts w:ascii="Verdana" w:hAnsi="Verdana"/>
      <w:sz w:val="20"/>
      <w:szCs w:val="20"/>
      <w:lang w:eastAsia="en-US"/>
    </w:rPr>
  </w:style>
  <w:style w:type="paragraph" w:styleId="1043">
    <w:name w:val="xl30"/>
    <w:basedOn w:val="958"/>
    <w:next w:val="1043"/>
    <w:link w:val="958"/>
    <w:pPr>
      <w:jc w:val="center"/>
      <w:spacing w:before="100" w:beforeAutospacing="1" w:after="100" w:afterAutospacing="1"/>
      <w:widowControl/>
    </w:pPr>
    <w:rPr>
      <w:rFonts w:ascii="宋体" w:hAnsi="宋体"/>
      <w:b/>
      <w:bCs/>
      <w:sz w:val="36"/>
      <w:szCs w:val="36"/>
    </w:rPr>
  </w:style>
  <w:style w:type="paragraph" w:styleId="1044">
    <w:name w:val="列出段落"/>
    <w:basedOn w:val="958"/>
    <w:next w:val="1044"/>
    <w:link w:val="958"/>
    <w:qFormat/>
    <w:pPr>
      <w:contextualSpacing/>
      <w:ind w:left="720"/>
      <w:jc w:val="left"/>
      <w:widowControl/>
    </w:pPr>
    <w:rPr>
      <w:rFonts w:ascii="Calibri" w:hAnsi="Calibri"/>
      <w:sz w:val="24"/>
      <w:szCs w:val="24"/>
      <w:lang w:eastAsia="en-US" w:bidi="en-US"/>
    </w:rPr>
  </w:style>
  <w:style w:type="paragraph" w:styleId="1045">
    <w:name w:val="4"/>
    <w:basedOn w:val="958"/>
    <w:next w:val="1014"/>
    <w:link w:val="958"/>
    <w:pPr>
      <w:ind w:firstLine="420"/>
      <w:spacing w:line="360" w:lineRule="auto"/>
    </w:pPr>
    <w:rPr>
      <w:color w:val="ff0000"/>
      <w:sz w:val="24"/>
      <w:szCs w:val="24"/>
    </w:rPr>
  </w:style>
  <w:style w:type="paragraph" w:styleId="1046">
    <w:name w:val="无间隔"/>
    <w:next w:val="1046"/>
    <w:link w:val="958"/>
    <w:uiPriority w:val="99"/>
    <w:qFormat/>
    <w:pPr>
      <w:jc w:val="both"/>
      <w:widowControl w:val="off"/>
    </w:pPr>
    <w:rPr>
      <w:sz w:val="21"/>
      <w:szCs w:val="21"/>
      <w:lang w:val="en-US" w:eastAsia="zh-CN" w:bidi="ar-SA"/>
    </w:rPr>
  </w:style>
  <w:style w:type="paragraph" w:styleId="1047">
    <w:name w:val="修订"/>
    <w:next w:val="1047"/>
    <w:link w:val="958"/>
    <w:uiPriority w:val="99"/>
    <w:semiHidden/>
    <w:rPr>
      <w:sz w:val="21"/>
      <w:szCs w:val="21"/>
      <w:lang w:val="en-US" w:eastAsia="zh-CN" w:bidi="ar-SA"/>
    </w:rPr>
  </w:style>
  <w:style w:type="paragraph" w:styleId="1048">
    <w:name w:val="附录1"/>
    <w:next w:val="1048"/>
    <w:link w:val="958"/>
    <w:pPr>
      <w:numPr>
        <w:ilvl w:val="0"/>
        <w:numId w:val="2"/>
      </w:numPr>
      <w:spacing w:before="240" w:line="600" w:lineRule="atLeast"/>
      <w:tabs>
        <w:tab w:val="left" w:pos="907" w:leader="none"/>
      </w:tabs>
    </w:pPr>
    <w:rPr>
      <w:b/>
      <w:i/>
      <w:sz w:val="28"/>
      <w:lang w:val="en-US" w:eastAsia="zh-CN" w:bidi="ar-SA"/>
    </w:rPr>
  </w:style>
  <w:style w:type="paragraph" w:styleId="1049">
    <w:name w:val="table_1stline"/>
    <w:basedOn w:val="958"/>
    <w:next w:val="1049"/>
    <w:link w:val="958"/>
    <w:pPr>
      <w:jc w:val="left"/>
      <w:spacing w:before="120"/>
      <w:widowControl/>
    </w:pPr>
    <w:rPr>
      <w:bCs/>
      <w:sz w:val="20"/>
      <w:szCs w:val="20"/>
      <w:lang w:val="de-DE" w:eastAsia="de-DE"/>
    </w:rPr>
  </w:style>
  <w:style w:type="paragraph" w:styleId="1050">
    <w:name w:val="xl29"/>
    <w:basedOn w:val="958"/>
    <w:next w:val="1050"/>
    <w:link w:val="9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name w:val="标题1"/>
    <w:basedOn w:val="958"/>
    <w:next w:val="958"/>
    <w:link w:val="9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xl27"/>
    <w:basedOn w:val="958"/>
    <w:next w:val="1052"/>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name w:val="table_lines"/>
    <w:basedOn w:val="958"/>
    <w:next w:val="1053"/>
    <w:link w:val="958"/>
    <w:pPr>
      <w:jc w:val="left"/>
      <w:widowControl/>
    </w:pPr>
    <w:rPr>
      <w:sz w:val="20"/>
      <w:szCs w:val="20"/>
      <w:lang w:val="de-DE" w:eastAsia="de-DE"/>
    </w:rPr>
  </w:style>
  <w:style w:type="paragraph" w:styleId="1054">
    <w:name w:val="font5"/>
    <w:basedOn w:val="958"/>
    <w:next w:val="1054"/>
    <w:link w:val="958"/>
    <w:pPr>
      <w:jc w:val="left"/>
      <w:spacing w:before="100" w:beforeAutospacing="1" w:after="100" w:afterAutospacing="1"/>
      <w:widowControl/>
    </w:pPr>
    <w:rPr>
      <w:rFonts w:hint="eastAsia" w:ascii="宋体" w:hAnsi="宋体"/>
      <w:sz w:val="28"/>
      <w:szCs w:val="28"/>
    </w:rPr>
  </w:style>
  <w:style w:type="paragraph" w:styleId="1055">
    <w:name w:val=" Char"/>
    <w:basedOn w:val="983"/>
    <w:next w:val="1055"/>
    <w:link w:val="958"/>
    <w:rPr>
      <w:rFonts w:ascii="Tahoma" w:hAnsi="Tahoma"/>
      <w:sz w:val="24"/>
      <w:szCs w:val="24"/>
    </w:rPr>
  </w:style>
  <w:style w:type="paragraph" w:styleId="1056">
    <w:name w:val="xl26"/>
    <w:basedOn w:val="958"/>
    <w:next w:val="105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name w:val="Char Char Char Char"/>
    <w:basedOn w:val="983"/>
    <w:next w:val="1057"/>
    <w:link w:val="958"/>
    <w:pPr>
      <w:spacing w:line="360" w:lineRule="auto"/>
    </w:pPr>
    <w:rPr>
      <w:rFonts w:ascii="Tahoma" w:hAnsi="Tahoma"/>
      <w:sz w:val="24"/>
      <w:szCs w:val="24"/>
    </w:rPr>
  </w:style>
  <w:style w:type="paragraph" w:styleId="1058">
    <w:name w:val="font7"/>
    <w:basedOn w:val="958"/>
    <w:next w:val="1058"/>
    <w:link w:val="958"/>
    <w:pPr>
      <w:jc w:val="left"/>
      <w:spacing w:before="100" w:beforeAutospacing="1" w:after="100" w:afterAutospacing="1"/>
      <w:widowControl/>
    </w:pPr>
    <w:rPr>
      <w:rFonts w:hint="eastAsia" w:ascii="宋体" w:hAnsi="宋体"/>
      <w:sz w:val="18"/>
      <w:szCs w:val="18"/>
    </w:rPr>
  </w:style>
  <w:style w:type="paragraph" w:styleId="1059">
    <w:name w:val="样式1"/>
    <w:basedOn w:val="958"/>
    <w:next w:val="1059"/>
    <w:link w:val="958"/>
    <w:pPr>
      <w:numPr>
        <w:ilvl w:val="0"/>
        <w:numId w:val="3"/>
      </w:numPr>
      <w:tabs>
        <w:tab w:val="left" w:pos="709" w:leader="none"/>
      </w:tabs>
    </w:pPr>
    <w:rPr>
      <w:rFonts w:ascii="宋体" w:hAnsi="宋体"/>
    </w:rPr>
  </w:style>
  <w:style w:type="paragraph" w:styleId="1060">
    <w:name w:val=" Char Char Char Char"/>
    <w:basedOn w:val="983"/>
    <w:next w:val="1060"/>
    <w:link w:val="958"/>
    <w:pPr>
      <w:spacing w:line="360" w:lineRule="auto"/>
    </w:pPr>
    <w:rPr>
      <w:rFonts w:ascii="Tahoma" w:hAnsi="Tahoma"/>
      <w:sz w:val="24"/>
      <w:szCs w:val="24"/>
    </w:rPr>
  </w:style>
  <w:style w:type="paragraph" w:styleId="1061">
    <w:name w:val="font6"/>
    <w:basedOn w:val="958"/>
    <w:next w:val="1061"/>
    <w:link w:val="958"/>
    <w:pPr>
      <w:jc w:val="left"/>
      <w:spacing w:before="100" w:beforeAutospacing="1" w:after="100" w:afterAutospacing="1"/>
      <w:widowControl/>
    </w:pPr>
    <w:rPr>
      <w:rFonts w:hint="eastAsia" w:ascii="宋体" w:hAnsi="宋体"/>
      <w:sz w:val="28"/>
      <w:szCs w:val="28"/>
      <w:u w:val="single"/>
    </w:rPr>
  </w:style>
  <w:style w:type="paragraph" w:styleId="1062">
    <w:name w:val="普通 (Web)"/>
    <w:basedOn w:val="958"/>
    <w:next w:val="1062"/>
    <w:link w:val="958"/>
    <w:pPr>
      <w:jc w:val="left"/>
      <w:spacing w:before="100" w:beforeAutospacing="1" w:after="100" w:afterAutospacing="1"/>
      <w:widowControl/>
    </w:pPr>
    <w:rPr>
      <w:rFonts w:ascii="宋体" w:hAnsi="宋体"/>
      <w:sz w:val="24"/>
      <w:szCs w:val="24"/>
    </w:rPr>
  </w:style>
  <w:style w:type="paragraph" w:styleId="1063">
    <w:name w:val=" Char Char Char Char Char Char Char Char"/>
    <w:basedOn w:val="958"/>
    <w:next w:val="1063"/>
    <w:link w:val="958"/>
    <w:pPr>
      <w:jc w:val="left"/>
      <w:spacing w:after="160" w:line="240" w:lineRule="exact"/>
      <w:widowControl/>
    </w:pPr>
    <w:rPr>
      <w:rFonts w:ascii="Verdana" w:hAnsi="Verdana"/>
      <w:sz w:val="20"/>
      <w:szCs w:val="20"/>
      <w:lang w:eastAsia="en-US"/>
    </w:rPr>
  </w:style>
  <w:style w:type="paragraph" w:styleId="1064">
    <w:name w:val="xl28"/>
    <w:basedOn w:val="958"/>
    <w:next w:val="1064"/>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name w:val="普通正文"/>
    <w:basedOn w:val="958"/>
    <w:next w:val="1065"/>
    <w:link w:val="958"/>
    <w:pPr>
      <w:ind w:firstLine="480"/>
      <w:jc w:val="left"/>
      <w:spacing w:before="120" w:after="120" w:line="360" w:lineRule="auto"/>
    </w:pPr>
    <w:rPr>
      <w:rFonts w:ascii="Arial" w:hAnsi="Arial"/>
      <w:sz w:val="24"/>
      <w:szCs w:val="24"/>
    </w:rPr>
  </w:style>
  <w:style w:type="paragraph" w:styleId="1066">
    <w:name w:val="标题 31"/>
    <w:basedOn w:val="958"/>
    <w:next w:val="1067"/>
    <w:link w:val="958"/>
    <w:qFormat/>
    <w:pPr>
      <w:keepLines/>
      <w:keepNext/>
      <w:spacing w:before="260" w:after="260" w:line="416" w:lineRule="auto"/>
      <w:outlineLvl w:val="2"/>
    </w:pPr>
    <w:rPr>
      <w:b/>
      <w:bCs/>
      <w:sz w:val="32"/>
      <w:szCs w:val="32"/>
    </w:rPr>
  </w:style>
  <w:style w:type="paragraph" w:styleId="1067">
    <w:name w:val="正文缩进1"/>
    <w:basedOn w:val="958"/>
    <w:next w:val="1067"/>
    <w:link w:val="958"/>
    <w:qFormat/>
    <w:pPr>
      <w:ind w:firstLine="420"/>
    </w:pPr>
  </w:style>
  <w:style w:type="paragraph" w:styleId="1068">
    <w:name w:val="图标"/>
    <w:basedOn w:val="958"/>
    <w:next w:val="958"/>
    <w:link w:val="9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name w:val="正文缩进11"/>
    <w:next w:val="1069"/>
    <w:link w:val="958"/>
    <w:qFormat/>
    <w:pPr>
      <w:ind w:firstLine="420"/>
      <w:jc w:val="both"/>
      <w:widowControl w:val="off"/>
    </w:pPr>
    <w:rPr>
      <w:sz w:val="21"/>
      <w:szCs w:val="21"/>
      <w:lang w:val="en-US" w:eastAsia="zh-CN" w:bidi="ar-SA"/>
    </w:rPr>
  </w:style>
  <w:style w:type="paragraph" w:styleId="1070">
    <w:name w:val=" Char Char Char Char Char Char Char Char Char Char"/>
    <w:basedOn w:val="958"/>
    <w:next w:val="1070"/>
    <w:link w:val="958"/>
    <w:pPr>
      <w:spacing w:line="360" w:lineRule="auto"/>
    </w:pPr>
    <w:rPr>
      <w:sz w:val="24"/>
      <w:szCs w:val="20"/>
    </w:rPr>
  </w:style>
  <w:style w:type="paragraph" w:styleId="1071">
    <w:name w:val="xl25"/>
    <w:basedOn w:val="958"/>
    <w:next w:val="1071"/>
    <w:link w:val="9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name w:val="xl24"/>
    <w:basedOn w:val="958"/>
    <w:next w:val="1072"/>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name w:val="标题3"/>
    <w:basedOn w:val="958"/>
    <w:next w:val="958"/>
    <w:link w:val="958"/>
    <w:pPr>
      <w:ind w:firstLine="624"/>
      <w:spacing w:line="590" w:lineRule="atLeast"/>
    </w:pPr>
    <w:rPr>
      <w:rFonts w:ascii="方正黑体_GBK" w:eastAsia="方正黑体_GBK"/>
      <w:sz w:val="32"/>
      <w:szCs w:val="32"/>
    </w:rPr>
  </w:style>
  <w:style w:type="paragraph" w:styleId="1074">
    <w:name w:val="批注文字1"/>
    <w:next w:val="1074"/>
    <w:link w:val="958"/>
    <w:uiPriority w:val="99"/>
    <w:qFormat/>
    <w:pPr>
      <w:widowControl w:val="off"/>
    </w:pPr>
    <w:rPr>
      <w:sz w:val="21"/>
      <w:szCs w:val="21"/>
      <w:lang w:val="en-US" w:eastAsia="zh-CN" w:bidi="ar-SA"/>
    </w:rPr>
  </w:style>
  <w:style w:type="paragraph" w:styleId="1075">
    <w:name w:val="正文1"/>
    <w:next w:val="1075"/>
    <w:link w:val="958"/>
    <w:qFormat/>
    <w:pPr>
      <w:jc w:val="both"/>
      <w:widowControl w:val="off"/>
    </w:pPr>
    <w:rPr>
      <w:rFonts w:ascii="Calibri" w:hAnsi="Calibri"/>
      <w:sz w:val="21"/>
      <w:szCs w:val="24"/>
      <w:lang w:val="en-US" w:eastAsia="zh-CN" w:bidi="ar-SA"/>
    </w:rPr>
  </w:style>
  <w:style w:type="paragraph" w:styleId="1076">
    <w:name w:val="ds-markdown-paragraph"/>
    <w:basedOn w:val="958"/>
    <w:next w:val="1076"/>
    <w:link w:val="958"/>
    <w:pPr>
      <w:jc w:val="left"/>
      <w:spacing w:before="100" w:beforeAutospacing="1" w:after="100" w:afterAutospacing="1"/>
      <w:widowControl/>
    </w:pPr>
    <w:rPr>
      <w:rFonts w:ascii="宋体" w:hAnsi="宋体" w:cs="宋体"/>
      <w:sz w:val="24"/>
      <w:szCs w:val="24"/>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13</cp:revision>
  <dcterms:created xsi:type="dcterms:W3CDTF">2023-03-16T02:16:00Z</dcterms:created>
  <dcterms:modified xsi:type="dcterms:W3CDTF">2026-04-15T08:37:18Z</dcterms:modified>
</cp:coreProperties>
</file>